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A1" w:rsidRPr="00C63ED8" w:rsidRDefault="000640A1" w:rsidP="000640A1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 ОАО «</w:t>
      </w:r>
      <w:r w:rsidR="00A7185C">
        <w:rPr>
          <w:rFonts w:ascii="Times New Roman" w:hAnsi="Times New Roman" w:cs="Times New Roman"/>
          <w:b w:val="0"/>
          <w:color w:val="auto"/>
          <w:sz w:val="24"/>
          <w:szCs w:val="24"/>
        </w:rPr>
        <w:t>Кубаньэнерго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от </w:t>
      </w:r>
      <w:r w:rsidR="006F6415">
        <w:rPr>
          <w:rFonts w:ascii="Times New Roman" w:hAnsi="Times New Roman" w:cs="Times New Roman"/>
          <w:b w:val="0"/>
          <w:color w:val="auto"/>
          <w:sz w:val="24"/>
          <w:szCs w:val="24"/>
        </w:rPr>
        <w:t>28.05.2015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</w:t>
      </w:r>
      <w:r w:rsidR="006F6415">
        <w:rPr>
          <w:rFonts w:ascii="Times New Roman" w:hAnsi="Times New Roman" w:cs="Times New Roman"/>
          <w:b w:val="0"/>
          <w:color w:val="auto"/>
          <w:sz w:val="24"/>
          <w:szCs w:val="24"/>
        </w:rPr>
        <w:t>431</w:t>
      </w:r>
      <w:bookmarkStart w:id="0" w:name="_GoBack"/>
      <w:bookmarkEnd w:id="0"/>
    </w:p>
    <w:p w:rsidR="000640A1" w:rsidRPr="00C63ED8" w:rsidRDefault="000640A1" w:rsidP="000640A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A7185C">
        <w:rPr>
          <w:rFonts w:ascii="Times New Roman" w:hAnsi="Times New Roman" w:cs="Times New Roman"/>
          <w:color w:val="auto"/>
          <w:sz w:val="24"/>
          <w:szCs w:val="24"/>
        </w:rPr>
        <w:t>ОАО «Кубаньэнерго»</w:t>
      </w:r>
    </w:p>
    <w:p w:rsidR="000640A1" w:rsidRPr="005F3C01" w:rsidRDefault="000640A1" w:rsidP="000640A1">
      <w:pPr>
        <w:spacing w:after="120"/>
        <w:ind w:left="8222"/>
        <w:rPr>
          <w:rFonts w:ascii="Times New Roman" w:hAnsi="Times New Roman" w:cs="Times New Roman"/>
          <w:sz w:val="24"/>
          <w:szCs w:val="24"/>
        </w:rPr>
      </w:pPr>
    </w:p>
    <w:p w:rsidR="00524428" w:rsidRPr="000640A1" w:rsidRDefault="00E01206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524428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</w:t>
      </w: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524428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СОСТАВЛЕНИЕ И ПРЕДОСТАВЛЕНИЕ ПОТРЕБИТЕЛЮ АКТОВ БЕЗУЧЕТНОГО И БЕЗДОГОВОРНОГО ПОТРЕБЛЕНИЯ ЭЛЕКТРИЧЕСКОЙ ЭНЕРГИИ</w:t>
      </w:r>
    </w:p>
    <w:p w:rsidR="000653F9" w:rsidRPr="000640A1" w:rsidRDefault="000653F9" w:rsidP="0006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0640A1" w:rsidRDefault="008C2E25" w:rsidP="0006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0640A1">
        <w:rPr>
          <w:rFonts w:ascii="Times New Roman" w:hAnsi="Times New Roman" w:cs="Times New Roman"/>
          <w:sz w:val="24"/>
          <w:szCs w:val="24"/>
        </w:rPr>
        <w:t>Ю</w:t>
      </w:r>
      <w:r w:rsidR="00584BD8" w:rsidRPr="000640A1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0640A1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0640A1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4B3BB8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4B3BB8" w:rsidRPr="00A7185C">
        <w:rPr>
          <w:rFonts w:ascii="Times New Roman" w:hAnsi="Times New Roman" w:cs="Times New Roman"/>
          <w:sz w:val="24"/>
          <w:szCs w:val="24"/>
        </w:rPr>
        <w:t>ОАО «</w:t>
      </w:r>
      <w:r w:rsidR="00A7185C">
        <w:rPr>
          <w:rFonts w:ascii="Times New Roman" w:hAnsi="Times New Roman" w:cs="Times New Roman"/>
          <w:sz w:val="24"/>
          <w:szCs w:val="24"/>
        </w:rPr>
        <w:t>Кубаньэнерго</w:t>
      </w:r>
      <w:r w:rsidR="004B3BB8" w:rsidRPr="00A7185C">
        <w:rPr>
          <w:rFonts w:ascii="Times New Roman" w:hAnsi="Times New Roman" w:cs="Times New Roman"/>
          <w:sz w:val="24"/>
          <w:szCs w:val="24"/>
        </w:rPr>
        <w:t xml:space="preserve">» </w:t>
      </w:r>
      <w:r w:rsidR="004B3BB8" w:rsidRPr="0067450A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="004B3BB8">
        <w:rPr>
          <w:rFonts w:ascii="Times New Roman" w:hAnsi="Times New Roman" w:cs="Times New Roman"/>
          <w:sz w:val="24"/>
          <w:szCs w:val="24"/>
        </w:rPr>
        <w:t xml:space="preserve">, </w:t>
      </w:r>
      <w:r w:rsidR="004B3BB8" w:rsidRPr="001855CA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A7185C" w:rsidRPr="00A7185C">
        <w:rPr>
          <w:rFonts w:ascii="Times New Roman" w:hAnsi="Times New Roman" w:cs="Times New Roman"/>
          <w:sz w:val="24"/>
          <w:szCs w:val="24"/>
        </w:rPr>
        <w:t>ОАО «</w:t>
      </w:r>
      <w:r w:rsidR="00A7185C">
        <w:rPr>
          <w:rFonts w:ascii="Times New Roman" w:hAnsi="Times New Roman" w:cs="Times New Roman"/>
          <w:sz w:val="24"/>
          <w:szCs w:val="24"/>
        </w:rPr>
        <w:t>Кубаньэнерго</w:t>
      </w:r>
      <w:r w:rsidR="00A7185C" w:rsidRPr="00A7185C">
        <w:rPr>
          <w:rFonts w:ascii="Times New Roman" w:hAnsi="Times New Roman" w:cs="Times New Roman"/>
          <w:sz w:val="24"/>
          <w:szCs w:val="24"/>
        </w:rPr>
        <w:t xml:space="preserve">» </w:t>
      </w:r>
      <w:r w:rsidR="004B3BB8" w:rsidRPr="001855CA">
        <w:rPr>
          <w:rFonts w:ascii="Times New Roman" w:hAnsi="Times New Roman" w:cs="Times New Roman"/>
          <w:sz w:val="24"/>
          <w:szCs w:val="24"/>
        </w:rPr>
        <w:t>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4B3BB8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640A1" w:rsidRDefault="008C2E25" w:rsidP="0006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064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0A1">
        <w:rPr>
          <w:rFonts w:ascii="Times New Roman" w:hAnsi="Times New Roman" w:cs="Times New Roman"/>
          <w:sz w:val="24"/>
          <w:szCs w:val="24"/>
        </w:rPr>
        <w:t>П</w:t>
      </w:r>
      <w:r w:rsidR="00584BD8" w:rsidRPr="000640A1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0640A1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640A1">
        <w:rPr>
          <w:rFonts w:ascii="Times New Roman" w:hAnsi="Times New Roman" w:cs="Times New Roman"/>
          <w:sz w:val="24"/>
          <w:szCs w:val="24"/>
        </w:rPr>
        <w:t xml:space="preserve"> </w:t>
      </w:r>
      <w:r w:rsidR="00B04094" w:rsidRPr="000640A1">
        <w:rPr>
          <w:rFonts w:ascii="Times New Roman" w:hAnsi="Times New Roman" w:cs="Times New Roman"/>
          <w:sz w:val="24"/>
          <w:szCs w:val="24"/>
        </w:rPr>
        <w:t xml:space="preserve">процесс производится при условии выявления </w:t>
      </w:r>
      <w:r w:rsidR="00A7185C" w:rsidRPr="00A7185C">
        <w:rPr>
          <w:rFonts w:ascii="Times New Roman" w:hAnsi="Times New Roman" w:cs="Times New Roman"/>
          <w:sz w:val="24"/>
          <w:szCs w:val="24"/>
        </w:rPr>
        <w:t>ОАО «</w:t>
      </w:r>
      <w:r w:rsidR="00A7185C">
        <w:rPr>
          <w:rFonts w:ascii="Times New Roman" w:hAnsi="Times New Roman" w:cs="Times New Roman"/>
          <w:sz w:val="24"/>
          <w:szCs w:val="24"/>
        </w:rPr>
        <w:t>Кубаньэнерго</w:t>
      </w:r>
      <w:r w:rsidR="00A7185C" w:rsidRPr="00A7185C">
        <w:rPr>
          <w:rFonts w:ascii="Times New Roman" w:hAnsi="Times New Roman" w:cs="Times New Roman"/>
          <w:sz w:val="24"/>
          <w:szCs w:val="24"/>
        </w:rPr>
        <w:t xml:space="preserve">» </w:t>
      </w:r>
      <w:r w:rsidR="00B04094" w:rsidRPr="000640A1">
        <w:rPr>
          <w:rFonts w:ascii="Times New Roman" w:hAnsi="Times New Roman" w:cs="Times New Roman"/>
          <w:sz w:val="24"/>
          <w:szCs w:val="24"/>
        </w:rPr>
        <w:t xml:space="preserve">безучетного или бездоговорного потребления электроэнергии физическим или юридическим лицом, индивидуальным предпринимателем. </w:t>
      </w:r>
    </w:p>
    <w:p w:rsidR="008C2E25" w:rsidRPr="000640A1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0640A1">
        <w:rPr>
          <w:rFonts w:ascii="Times New Roman" w:hAnsi="Times New Roman" w:cs="Times New Roman"/>
          <w:sz w:val="24"/>
          <w:szCs w:val="24"/>
        </w:rPr>
        <w:t xml:space="preserve"> </w:t>
      </w:r>
      <w:r w:rsidR="00405E12" w:rsidRPr="000640A1">
        <w:rPr>
          <w:rFonts w:ascii="Times New Roman" w:hAnsi="Times New Roman" w:cs="Times New Roman"/>
          <w:sz w:val="24"/>
          <w:szCs w:val="24"/>
        </w:rPr>
        <w:t xml:space="preserve">составленный надлежащим образом акт </w:t>
      </w:r>
      <w:proofErr w:type="spellStart"/>
      <w:r w:rsidR="00405E12" w:rsidRPr="000640A1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="00405E12" w:rsidRPr="000640A1">
        <w:rPr>
          <w:rFonts w:ascii="Times New Roman" w:hAnsi="Times New Roman" w:cs="Times New Roman"/>
          <w:sz w:val="24"/>
          <w:szCs w:val="24"/>
        </w:rPr>
        <w:t xml:space="preserve"> или бездоговорного потребления электроэнергии</w:t>
      </w:r>
      <w:r w:rsidRPr="000640A1">
        <w:rPr>
          <w:rFonts w:ascii="Times New Roman" w:hAnsi="Times New Roman" w:cs="Times New Roman"/>
          <w:sz w:val="24"/>
          <w:szCs w:val="24"/>
        </w:rPr>
        <w:t>.</w:t>
      </w:r>
    </w:p>
    <w:p w:rsidR="000653F9" w:rsidRPr="000640A1" w:rsidRDefault="008C2E25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 w:rsidR="000640A1" w:rsidRPr="000640A1" w:rsidTr="00064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640A1" w:rsidRDefault="00CA183B" w:rsidP="000640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0640A1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0640A1" w:rsidTr="006F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CA183B" w:rsidRPr="000640A1" w:rsidRDefault="00CA183B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0640A1" w:rsidRDefault="00B04094" w:rsidP="00144C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неучтенного (безучетного или бездоговорного) потребления электроэнергии и составление </w:t>
            </w:r>
            <w:r w:rsidR="001C6BF2">
              <w:rPr>
                <w:rFonts w:ascii="Times New Roman" w:eastAsia="Times New Roman" w:hAnsi="Times New Roman" w:cs="Times New Roman"/>
                <w:lang w:eastAsia="ru-RU"/>
              </w:rPr>
              <w:t xml:space="preserve">актов </w:t>
            </w:r>
            <w:r w:rsidR="001C6BF2"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неучтенном потреблении электроэнергии.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CA183B" w:rsidRPr="000640A1" w:rsidRDefault="00DC03DD" w:rsidP="001C6B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04094"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осмотра, при получении информации о возможных фактах </w:t>
            </w:r>
            <w:proofErr w:type="spellStart"/>
            <w:r w:rsidR="001C6B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безучетного</w:t>
            </w:r>
            <w:proofErr w:type="spellEnd"/>
            <w:r w:rsidR="001C6B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4094" w:rsidRPr="000640A1">
              <w:rPr>
                <w:rFonts w:ascii="Times New Roman" w:eastAsia="Times New Roman" w:hAnsi="Times New Roman" w:cs="Times New Roman"/>
                <w:lang w:eastAsia="ru-RU"/>
              </w:rPr>
              <w:t>или бездоговорного потребления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CA183B" w:rsidRPr="000640A1" w:rsidRDefault="00B04094" w:rsidP="001C6B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Установление и фиксация факта </w:t>
            </w:r>
            <w:proofErr w:type="spellStart"/>
            <w:r w:rsidR="001C6BF2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proofErr w:type="spellEnd"/>
            <w:r w:rsidR="001C6BF2"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или бездоговорного потребления электроэнергии.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  <w:shd w:val="clear" w:color="auto" w:fill="auto"/>
          </w:tcPr>
          <w:p w:rsidR="00CA183B" w:rsidRPr="000640A1" w:rsidRDefault="009B4A5B" w:rsidP="000640A1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C5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проверки доводится до сведения гарантирующего поставщика, проверяемого гражданина или руководителя (представителя) проверяемого юридического лица непосредственно </w:t>
            </w:r>
            <w:r w:rsidRPr="00144C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 прибытия проверяющей группы на объект проверки посредством телефонной связи либо в устной форме.</w:t>
            </w:r>
            <w:r w:rsidR="00B04094"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CA183B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приборов учета, в ходе их осмотра</w:t>
            </w:r>
          </w:p>
        </w:tc>
        <w:tc>
          <w:tcPr>
            <w:tcW w:w="928" w:type="pct"/>
            <w:tcBorders>
              <w:top w:val="double" w:sz="4" w:space="0" w:color="4F81BD" w:themeColor="accent1"/>
            </w:tcBorders>
          </w:tcPr>
          <w:p w:rsidR="00CA183B" w:rsidRPr="000640A1" w:rsidRDefault="00CA183B" w:rsidP="00064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</w:t>
            </w:r>
            <w:r w:rsidR="008D2E8D" w:rsidRPr="000640A1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2E8D" w:rsidRPr="000640A1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0640A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8D2E8D" w:rsidRPr="000640A1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0640A1" w:rsidRDefault="008D2E8D" w:rsidP="001C6B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и  предоставление акта о </w:t>
            </w:r>
            <w:proofErr w:type="spellStart"/>
            <w:r w:rsidR="001C6BF2">
              <w:rPr>
                <w:rFonts w:ascii="Times New Roman" w:eastAsia="Times New Roman" w:hAnsi="Times New Roman" w:cs="Times New Roman"/>
                <w:lang w:eastAsia="ru-RU"/>
              </w:rPr>
              <w:t>безучетном</w:t>
            </w:r>
            <w:proofErr w:type="spellEnd"/>
            <w:r w:rsidR="001C6BF2"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или бездоговорном потреблении электроэнергии.</w:t>
            </w:r>
          </w:p>
        </w:tc>
        <w:tc>
          <w:tcPr>
            <w:tcW w:w="907" w:type="pct"/>
          </w:tcPr>
          <w:p w:rsidR="008D2E8D" w:rsidRPr="000640A1" w:rsidRDefault="008D2E8D" w:rsidP="001C6B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При установлении факта </w:t>
            </w:r>
            <w:proofErr w:type="spellStart"/>
            <w:r w:rsidR="001C6BF2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proofErr w:type="spellEnd"/>
            <w:r w:rsidR="001C6BF2"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или бездоговорного потребления электроэнергии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</w:t>
            </w:r>
            <w:r w:rsidRPr="000640A1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акта о </w:t>
            </w:r>
            <w:proofErr w:type="spellStart"/>
            <w:r w:rsidR="001C6BF2">
              <w:rPr>
                <w:rFonts w:ascii="Times New Roman" w:eastAsia="Times New Roman" w:hAnsi="Times New Roman" w:cs="Times New Roman"/>
                <w:lang w:eastAsia="ru-RU"/>
              </w:rPr>
              <w:t>безучетном</w:t>
            </w:r>
            <w:proofErr w:type="spellEnd"/>
            <w:r w:rsidR="001C6BF2"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или бездоговорном потреблении электрической энергии;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2.2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  участников  проверки и проверяемого  гражданина либо уполномоченного  представителя  (руководителя) проверяемого юридического лица с актом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Акт о </w:t>
            </w:r>
            <w:proofErr w:type="spellStart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безучетном</w:t>
            </w:r>
            <w:proofErr w:type="spellEnd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бездоговорном потреблении, 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Акт </w:t>
            </w:r>
            <w:proofErr w:type="spellStart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недопуска</w:t>
            </w:r>
            <w:proofErr w:type="spellEnd"/>
            <w:r w:rsidRPr="000640A1" w:rsidDel="00423A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оформленный в присутствии двух незаинтересованных свидетелей (оформляется, в случае противодействия лица (его представителя) проведению проверки, а также воспрепятствования доступу персонала сетевой организации к проверяемому объекту).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40A1">
              <w:rPr>
                <w:rFonts w:ascii="Times New Roman" w:hAnsi="Times New Roman" w:cs="Times New Roman"/>
              </w:rPr>
              <w:t xml:space="preserve">Не позднее 3 рабочих дней </w:t>
            </w:r>
            <w:proofErr w:type="gramStart"/>
            <w:r w:rsidRPr="000640A1">
              <w:rPr>
                <w:rFonts w:ascii="Times New Roman" w:hAnsi="Times New Roman" w:cs="Times New Roman"/>
              </w:rPr>
              <w:t>с даты</w:t>
            </w:r>
            <w:proofErr w:type="gramEnd"/>
            <w:r w:rsidRPr="000640A1">
              <w:rPr>
                <w:rFonts w:ascii="Times New Roman" w:hAnsi="Times New Roman" w:cs="Times New Roman"/>
              </w:rPr>
              <w:t xml:space="preserve"> его составления</w:t>
            </w:r>
          </w:p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 192 Основ функционирования розничных рынков электрической энергии</w:t>
            </w:r>
          </w:p>
        </w:tc>
      </w:tr>
      <w:tr w:rsidR="008D2E8D" w:rsidRPr="000640A1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Расчет объема неучтенного (безучетного или  бездоговорного) потребления электрической энергии</w:t>
            </w:r>
          </w:p>
        </w:tc>
        <w:tc>
          <w:tcPr>
            <w:tcW w:w="907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0640A1" w:rsidRDefault="00BE7298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неучтенного потребления электроэнергии.</w:t>
            </w:r>
          </w:p>
          <w:p w:rsidR="00BE7298" w:rsidRPr="000640A1" w:rsidRDefault="00BE7298" w:rsidP="000640A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8D2E8D" w:rsidRPr="000640A1" w:rsidRDefault="00BE7298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оформление Приложения к акту о неучтенном потреблении электрической энергии – Расчет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объема неучтенного (безучетного, бездоговорного) потребления электроэнергии.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2 рабочих дней со дня составления акта о неучтенном потреблении электрической </w:t>
            </w: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энергии.</w:t>
            </w:r>
          </w:p>
        </w:tc>
        <w:tc>
          <w:tcPr>
            <w:tcW w:w="928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194-196 Основ функционирования розничных рынков электрической энергии</w:t>
            </w:r>
          </w:p>
        </w:tc>
      </w:tr>
      <w:tr w:rsidR="00BE7298" w:rsidRPr="000640A1" w:rsidTr="000640A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E7298" w:rsidRPr="000640A1" w:rsidRDefault="00BE7298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E7298" w:rsidRPr="000640A1" w:rsidRDefault="00BE7298" w:rsidP="000640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</w:tcPr>
          <w:p w:rsidR="00BE7298" w:rsidRPr="000640A1" w:rsidRDefault="00BE7298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E7298" w:rsidRPr="000640A1" w:rsidRDefault="00E20DAF" w:rsidP="000640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потребления, который должен содержать расчет стоимости бездоговорного потребления, и направляет его лицу, осуществившему бездоговорное потребление, способом, позволяющим подтвердить факт получения, вместе c актом о неучтенном по</w:t>
            </w:r>
            <w:r w:rsidR="00DC03DD" w:rsidRPr="000640A1">
              <w:rPr>
                <w:rFonts w:ascii="Times New Roman" w:hAnsi="Times New Roman" w:cs="Times New Roman"/>
              </w:rPr>
              <w:t>треблении электрической энергии</w:t>
            </w:r>
          </w:p>
        </w:tc>
        <w:tc>
          <w:tcPr>
            <w:tcW w:w="789" w:type="pct"/>
          </w:tcPr>
          <w:p w:rsidR="00BE7298" w:rsidRPr="000640A1" w:rsidRDefault="00E20DAF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оформление счета </w:t>
            </w:r>
            <w:r w:rsidRPr="000640A1">
              <w:rPr>
                <w:rFonts w:ascii="Times New Roman" w:hAnsi="Times New Roman" w:cs="Times New Roman"/>
              </w:rPr>
              <w:t>и направление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BE7298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:rsidR="00E20DAF" w:rsidRPr="000640A1" w:rsidRDefault="00E20DAF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Пункты 192, 196 Основ функционирования розничных рынков электрической энергии</w:t>
            </w:r>
          </w:p>
          <w:p w:rsidR="00BE7298" w:rsidRPr="000640A1" w:rsidRDefault="00BE7298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2E8D" w:rsidRPr="000640A1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D2E8D" w:rsidRPr="000640A1" w:rsidRDefault="008D2E8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 xml:space="preserve">Направление  счета для оплаты стоимости электрической энергии в объеме бездоговорного потребления  лицу, осуществившему бездоговорное </w:t>
            </w:r>
            <w:r w:rsidRPr="000640A1">
              <w:rPr>
                <w:rFonts w:ascii="Times New Roman" w:hAnsi="Times New Roman" w:cs="Times New Roman"/>
              </w:rPr>
              <w:lastRenderedPageBreak/>
              <w:t>потребление</w:t>
            </w:r>
          </w:p>
        </w:tc>
        <w:tc>
          <w:tcPr>
            <w:tcW w:w="907" w:type="pct"/>
          </w:tcPr>
          <w:p w:rsidR="008D2E8D" w:rsidRPr="000640A1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счета (или счет-фактуры), </w:t>
            </w:r>
            <w:proofErr w:type="gramStart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сформированных</w:t>
            </w:r>
            <w:proofErr w:type="gramEnd"/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расчета по акту бездоговорного потребления,  лицу, осуществившему бездоговорное потребление</w:t>
            </w:r>
          </w:p>
        </w:tc>
        <w:tc>
          <w:tcPr>
            <w:tcW w:w="789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hAnsi="Times New Roman" w:cs="Times New Roman"/>
              </w:rPr>
              <w:t>Письменное направление счета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8D2E8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:rsidR="008D2E8D" w:rsidRPr="000640A1" w:rsidRDefault="008D2E8D" w:rsidP="00064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  <w:tr w:rsidR="00DC03DD" w:rsidRPr="000640A1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DC03DD" w:rsidRPr="000640A1" w:rsidRDefault="00DC03DD" w:rsidP="000640A1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DC03DD" w:rsidRPr="000640A1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Оплата лицом, допустившим бездоговорное потребление электроэнергии, объема этого потребления</w:t>
            </w:r>
          </w:p>
        </w:tc>
        <w:tc>
          <w:tcPr>
            <w:tcW w:w="907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DC03DD" w:rsidRPr="000640A1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 xml:space="preserve">Оплата лицом, допустившим бездоговорное потребление электроэнергии, </w:t>
            </w:r>
            <w:r w:rsidRPr="000640A1">
              <w:rPr>
                <w:rFonts w:ascii="Times New Roman" w:hAnsi="Times New Roman" w:cs="Times New Roman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789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Оплаченный счет на оплату объема бездоговорного потребления электроэнергии</w:t>
            </w:r>
          </w:p>
          <w:p w:rsidR="00DC03DD" w:rsidRPr="000640A1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DC03D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10 дней со дня получения счета.</w:t>
            </w:r>
          </w:p>
          <w:p w:rsidR="00DC03DD" w:rsidRPr="000640A1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:rsidR="00DC03DD" w:rsidRPr="000640A1" w:rsidRDefault="00DC03DD" w:rsidP="00064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0A1">
              <w:rPr>
                <w:rFonts w:ascii="Times New Roman" w:eastAsia="Times New Roman" w:hAnsi="Times New Roman" w:cs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</w:tbl>
    <w:p w:rsidR="00CA183B" w:rsidRPr="000640A1" w:rsidRDefault="00CA183B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02B7A" w:rsidRPr="000640A1" w:rsidRDefault="00C02B7A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0A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064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85C" w:rsidRPr="00A7185C" w:rsidRDefault="00A7185C" w:rsidP="00A71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7185C">
        <w:rPr>
          <w:rFonts w:ascii="Times New Roman" w:eastAsia="Calibri" w:hAnsi="Times New Roman" w:cs="Times New Roman"/>
          <w:sz w:val="24"/>
          <w:szCs w:val="24"/>
        </w:rPr>
        <w:t xml:space="preserve">Номер телефонного центра обслуживания ОАО «Кубаньэнерго» </w:t>
      </w:r>
      <w:r w:rsidRPr="00A7185C">
        <w:rPr>
          <w:rFonts w:ascii="Times New Roman" w:eastAsia="Calibri" w:hAnsi="Times New Roman" w:cs="Times New Roman"/>
          <w:b/>
          <w:color w:val="548DD4" w:themeColor="text2" w:themeTint="99"/>
          <w:sz w:val="24"/>
          <w:szCs w:val="24"/>
        </w:rPr>
        <w:t>8-800-100-15-52</w:t>
      </w:r>
    </w:p>
    <w:p w:rsidR="00A7185C" w:rsidRPr="00A7185C" w:rsidRDefault="00A7185C" w:rsidP="00A71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A7185C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 ОАО «Кубаньэнерго»: </w:t>
      </w:r>
      <w:hyperlink r:id="rId9" w:history="1">
        <w:r w:rsidRPr="00A718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contact@kuben.elektra.ru</w:t>
        </w:r>
      </w:hyperlink>
      <w:r w:rsidRPr="00A718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185C" w:rsidRPr="00A7185C" w:rsidRDefault="00A7185C" w:rsidP="00A71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A7185C">
        <w:rPr>
          <w:rFonts w:ascii="Times New Roman" w:eastAsia="Calibri" w:hAnsi="Times New Roman" w:cs="Times New Roman"/>
          <w:sz w:val="24"/>
          <w:szCs w:val="24"/>
        </w:rPr>
        <w:t xml:space="preserve">Адреса Центров обслуживания клиентов: </w:t>
      </w:r>
    </w:p>
    <w:tbl>
      <w:tblPr>
        <w:tblpPr w:leftFromText="45" w:rightFromText="45" w:bottomFromText="200" w:vertAnchor="text" w:tblpX="76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7971"/>
      </w:tblGrid>
      <w:tr w:rsidR="00A7185C" w:rsidRPr="00A7185C" w:rsidTr="00A7185C">
        <w:trPr>
          <w:trHeight w:val="49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Почтовый индекс, адрес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Адыгейские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385000, Республика Адыгея, г. Майкоп, ул. </w:t>
            </w:r>
            <w:proofErr w:type="spell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Шовгенова</w:t>
            </w:r>
            <w:proofErr w:type="spell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, 358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Армавирские</w:t>
            </w:r>
            <w:proofErr w:type="spell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352900, Краснодарский край, г. Армавир, ул. Воровского, 54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350000, Краснодарский край, г. Краснодар, ул. </w:t>
            </w:r>
            <w:proofErr w:type="spell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, 131</w:t>
            </w:r>
          </w:p>
        </w:tc>
      </w:tr>
      <w:tr w:rsidR="00A7185C" w:rsidRPr="00A7185C" w:rsidTr="00A7185C">
        <w:trPr>
          <w:trHeight w:val="425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352503, Краснодарский край,  г. Лабинск, ул. Мира, 334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353740, Краснодарский край, ст. </w:t>
            </w:r>
            <w:proofErr w:type="gram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, ул. Им 302 Дивизии,6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Славянские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353560, Краснодарский край, г. Славянск-на-Кубани, ул</w:t>
            </w:r>
            <w:proofErr w:type="gram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троительная,49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354000, Краснодарский край, г. Сочи, ул. </w:t>
            </w:r>
            <w:proofErr w:type="spell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Несебрская</w:t>
            </w:r>
            <w:proofErr w:type="spell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 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Тимашевские</w:t>
            </w:r>
            <w:proofErr w:type="spell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352700, Краснодарский край,  г. Тимашевск, ул</w:t>
            </w:r>
            <w:proofErr w:type="gram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енина,176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Тихорецкие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352122, Краснодарский край, г. Тихорецк, ул. Дзержинского, 62</w:t>
            </w:r>
          </w:p>
        </w:tc>
      </w:tr>
      <w:tr w:rsidR="00A7185C" w:rsidRPr="00A7185C" w:rsidTr="00A7185C">
        <w:trPr>
          <w:trHeight w:val="448"/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-Лабинские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352330, Краснодарский край, г. Усть-Лабинск, ул. </w:t>
            </w:r>
            <w:proofErr w:type="gramStart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, 4</w:t>
            </w:r>
          </w:p>
        </w:tc>
      </w:tr>
      <w:tr w:rsidR="00A7185C" w:rsidRPr="00A7185C" w:rsidTr="00A7185C">
        <w:trPr>
          <w:trHeight w:val="425"/>
          <w:tblCellSpacing w:w="0" w:type="dxa"/>
        </w:trPr>
        <w:tc>
          <w:tcPr>
            <w:tcW w:w="4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Юго-Западные  электрические сети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353902, Краснодарский край, г. Новороссийск, Восточный Мол, д.1</w:t>
            </w:r>
          </w:p>
        </w:tc>
      </w:tr>
      <w:tr w:rsidR="00A7185C" w:rsidRPr="00A7185C" w:rsidTr="00A7185C">
        <w:trPr>
          <w:trHeight w:val="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85C" w:rsidRPr="00A7185C" w:rsidRDefault="00A7185C" w:rsidP="00A7185C">
            <w:pPr>
              <w:autoSpaceDE w:val="0"/>
              <w:autoSpaceDN w:val="0"/>
              <w:adjustRightInd w:val="0"/>
              <w:spacing w:after="0"/>
              <w:ind w:firstLine="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85C">
              <w:rPr>
                <w:rFonts w:ascii="Times New Roman" w:eastAsia="Calibri" w:hAnsi="Times New Roman" w:cs="Times New Roman"/>
                <w:sz w:val="24"/>
                <w:szCs w:val="24"/>
              </w:rPr>
              <w:t>353450, Краснодарский край, г. Анапа, пер. Строительный, 5</w:t>
            </w:r>
          </w:p>
        </w:tc>
      </w:tr>
    </w:tbl>
    <w:p w:rsidR="00A7185C" w:rsidRPr="00A7185C" w:rsidRDefault="00A7185C" w:rsidP="00A7185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:rsidR="000653F9" w:rsidRPr="000640A1" w:rsidRDefault="000653F9" w:rsidP="00A7185C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0640A1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D0" w:rsidRDefault="00CA51D0" w:rsidP="00DC7CA8">
      <w:pPr>
        <w:spacing w:after="0" w:line="240" w:lineRule="auto"/>
      </w:pPr>
      <w:r>
        <w:separator/>
      </w:r>
    </w:p>
  </w:endnote>
  <w:endnote w:type="continuationSeparator" w:id="0">
    <w:p w:rsidR="00CA51D0" w:rsidRDefault="00CA51D0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D0" w:rsidRDefault="00CA51D0" w:rsidP="00DC7CA8">
      <w:pPr>
        <w:spacing w:after="0" w:line="240" w:lineRule="auto"/>
      </w:pPr>
      <w:r>
        <w:separator/>
      </w:r>
    </w:p>
  </w:footnote>
  <w:footnote w:type="continuationSeparator" w:id="0">
    <w:p w:rsidR="00CA51D0" w:rsidRDefault="00CA51D0" w:rsidP="00DC7CA8">
      <w:pPr>
        <w:spacing w:after="0" w:line="240" w:lineRule="auto"/>
      </w:pPr>
      <w:r>
        <w:continuationSeparator/>
      </w:r>
    </w:p>
  </w:footnote>
  <w:footnote w:id="1">
    <w:p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40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0640A1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3F9"/>
    <w:rsid w:val="00022F24"/>
    <w:rsid w:val="0002598C"/>
    <w:rsid w:val="00026177"/>
    <w:rsid w:val="000640A1"/>
    <w:rsid w:val="000653F9"/>
    <w:rsid w:val="000D0D64"/>
    <w:rsid w:val="000E710C"/>
    <w:rsid w:val="00144C55"/>
    <w:rsid w:val="001452AF"/>
    <w:rsid w:val="00166D9F"/>
    <w:rsid w:val="00182892"/>
    <w:rsid w:val="00187BF5"/>
    <w:rsid w:val="0019014D"/>
    <w:rsid w:val="001C6BF2"/>
    <w:rsid w:val="001C77BA"/>
    <w:rsid w:val="001D45A0"/>
    <w:rsid w:val="00206CD3"/>
    <w:rsid w:val="0022778E"/>
    <w:rsid w:val="00231805"/>
    <w:rsid w:val="00233155"/>
    <w:rsid w:val="00242530"/>
    <w:rsid w:val="00251BEC"/>
    <w:rsid w:val="0029071F"/>
    <w:rsid w:val="002963F2"/>
    <w:rsid w:val="002978AF"/>
    <w:rsid w:val="002A07D7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556E"/>
    <w:rsid w:val="003D4D3D"/>
    <w:rsid w:val="003F39CA"/>
    <w:rsid w:val="003F5301"/>
    <w:rsid w:val="00401788"/>
    <w:rsid w:val="00405B1D"/>
    <w:rsid w:val="00405E12"/>
    <w:rsid w:val="00420452"/>
    <w:rsid w:val="00442712"/>
    <w:rsid w:val="00443775"/>
    <w:rsid w:val="004A4D60"/>
    <w:rsid w:val="004B3BB8"/>
    <w:rsid w:val="004D2FC8"/>
    <w:rsid w:val="0051045A"/>
    <w:rsid w:val="0051352D"/>
    <w:rsid w:val="00524428"/>
    <w:rsid w:val="00534E9A"/>
    <w:rsid w:val="00557796"/>
    <w:rsid w:val="00584BD8"/>
    <w:rsid w:val="005B627E"/>
    <w:rsid w:val="005C22A7"/>
    <w:rsid w:val="005E5AAE"/>
    <w:rsid w:val="00614532"/>
    <w:rsid w:val="00620C3D"/>
    <w:rsid w:val="006337AB"/>
    <w:rsid w:val="00640439"/>
    <w:rsid w:val="0065173C"/>
    <w:rsid w:val="00666E7C"/>
    <w:rsid w:val="00675DBB"/>
    <w:rsid w:val="00677F5A"/>
    <w:rsid w:val="00690D12"/>
    <w:rsid w:val="006A3ACA"/>
    <w:rsid w:val="006D2EDE"/>
    <w:rsid w:val="006F2514"/>
    <w:rsid w:val="006F446F"/>
    <w:rsid w:val="006F6415"/>
    <w:rsid w:val="00762B2B"/>
    <w:rsid w:val="00776C32"/>
    <w:rsid w:val="00780B3A"/>
    <w:rsid w:val="0078335E"/>
    <w:rsid w:val="007919F1"/>
    <w:rsid w:val="007A2C8F"/>
    <w:rsid w:val="007E41FA"/>
    <w:rsid w:val="008117CC"/>
    <w:rsid w:val="0081798E"/>
    <w:rsid w:val="00823FF3"/>
    <w:rsid w:val="00824E68"/>
    <w:rsid w:val="008254DA"/>
    <w:rsid w:val="0082713E"/>
    <w:rsid w:val="008C2E25"/>
    <w:rsid w:val="008D2E8D"/>
    <w:rsid w:val="008E16CB"/>
    <w:rsid w:val="009001F4"/>
    <w:rsid w:val="00904E58"/>
    <w:rsid w:val="00974476"/>
    <w:rsid w:val="009B4A5B"/>
    <w:rsid w:val="009D7322"/>
    <w:rsid w:val="00A13E90"/>
    <w:rsid w:val="00A22C5F"/>
    <w:rsid w:val="00A42D43"/>
    <w:rsid w:val="00A44E14"/>
    <w:rsid w:val="00A474DD"/>
    <w:rsid w:val="00A705D8"/>
    <w:rsid w:val="00A7185C"/>
    <w:rsid w:val="00AF67C0"/>
    <w:rsid w:val="00B04094"/>
    <w:rsid w:val="00B118E9"/>
    <w:rsid w:val="00B8308D"/>
    <w:rsid w:val="00B84849"/>
    <w:rsid w:val="00BA531D"/>
    <w:rsid w:val="00BB7AE2"/>
    <w:rsid w:val="00BD087E"/>
    <w:rsid w:val="00BD1B9A"/>
    <w:rsid w:val="00BE7298"/>
    <w:rsid w:val="00C02B7A"/>
    <w:rsid w:val="00C05A4F"/>
    <w:rsid w:val="00C20511"/>
    <w:rsid w:val="00C2064F"/>
    <w:rsid w:val="00C25F4B"/>
    <w:rsid w:val="00C379FF"/>
    <w:rsid w:val="00C514F8"/>
    <w:rsid w:val="00C74D96"/>
    <w:rsid w:val="00CA183B"/>
    <w:rsid w:val="00CA1E91"/>
    <w:rsid w:val="00CA51D0"/>
    <w:rsid w:val="00CC1A0A"/>
    <w:rsid w:val="00CC211B"/>
    <w:rsid w:val="00CF1785"/>
    <w:rsid w:val="00D34055"/>
    <w:rsid w:val="00D47D80"/>
    <w:rsid w:val="00D679FC"/>
    <w:rsid w:val="00DC03DD"/>
    <w:rsid w:val="00DC7CA8"/>
    <w:rsid w:val="00E01206"/>
    <w:rsid w:val="00E20DAF"/>
    <w:rsid w:val="00E22D8E"/>
    <w:rsid w:val="00E36F56"/>
    <w:rsid w:val="00E5056E"/>
    <w:rsid w:val="00E53D9B"/>
    <w:rsid w:val="00E557B2"/>
    <w:rsid w:val="00EA53BE"/>
    <w:rsid w:val="00EE2C63"/>
    <w:rsid w:val="00F4184B"/>
    <w:rsid w:val="00F87578"/>
    <w:rsid w:val="00FC1DA6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ntact@kuben.elek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F9F4-8814-4543-84E9-FBD87500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Камоза Ю.Н.</cp:lastModifiedBy>
  <cp:revision>4</cp:revision>
  <cp:lastPrinted>2014-08-01T10:40:00Z</cp:lastPrinted>
  <dcterms:created xsi:type="dcterms:W3CDTF">2015-05-26T11:56:00Z</dcterms:created>
  <dcterms:modified xsi:type="dcterms:W3CDTF">2015-05-28T11:29:00Z</dcterms:modified>
</cp:coreProperties>
</file>