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F6" w:rsidRDefault="00757CF6" w:rsidP="00FA41F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CF6" w:rsidRDefault="00757CF6" w:rsidP="00757CF6">
      <w:pPr>
        <w:spacing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качестве обслуживания потребителей услуг</w:t>
      </w:r>
    </w:p>
    <w:p w:rsidR="00757CF6" w:rsidRDefault="00757CF6" w:rsidP="00591E9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ПАО «Россети Кубань» за 202</w:t>
      </w:r>
      <w:r w:rsidR="00212CD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6D2D5D" w:rsidRDefault="006D2D5D" w:rsidP="00757CF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D5D" w:rsidRPr="001177B6" w:rsidRDefault="006D2D5D" w:rsidP="006D2D5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7B6">
        <w:rPr>
          <w:rFonts w:ascii="Times New Roman" w:hAnsi="Times New Roman" w:cs="Times New Roman"/>
          <w:b/>
          <w:sz w:val="28"/>
          <w:szCs w:val="28"/>
        </w:rPr>
        <w:t xml:space="preserve">п.1.3 Информация об объектах электросетевого хозяйства </w:t>
      </w:r>
      <w:r w:rsidRPr="001177B6">
        <w:rPr>
          <w:rFonts w:ascii="Times New Roman" w:hAnsi="Times New Roman" w:cs="Times New Roman"/>
          <w:b/>
          <w:sz w:val="28"/>
          <w:szCs w:val="28"/>
        </w:rPr>
        <w:br/>
      </w:r>
      <w:r w:rsidRPr="001177B6">
        <w:rPr>
          <w:rFonts w:ascii="Times New Roman" w:eastAsia="Calibri" w:hAnsi="Times New Roman"/>
          <w:b/>
          <w:sz w:val="28"/>
          <w:szCs w:val="28"/>
        </w:rPr>
        <w:t>ПАО «Россети Кубань»</w:t>
      </w:r>
      <w:r w:rsidRPr="001177B6">
        <w:rPr>
          <w:rFonts w:ascii="Times New Roman" w:hAnsi="Times New Roman" w:cs="Times New Roman"/>
          <w:b/>
          <w:sz w:val="28"/>
          <w:szCs w:val="28"/>
        </w:rPr>
        <w:t>.</w:t>
      </w:r>
    </w:p>
    <w:p w:rsidR="006D2D5D" w:rsidRPr="001177B6" w:rsidRDefault="006D2D5D" w:rsidP="006D2D5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7B6">
        <w:rPr>
          <w:rFonts w:ascii="Times New Roman" w:hAnsi="Times New Roman" w:cs="Times New Roman"/>
          <w:sz w:val="28"/>
          <w:szCs w:val="28"/>
        </w:rPr>
        <w:t>В состав ПАО «Россети Кубань» входят 11 электросетевых филиалов: Адыгейские, Армавирские, Краснодарские, Лабинские, Ленинградские, Славянские, Сочинские, Тимашевские, Тихорецкие, Усть-Лабинские, Юго-Западные электрические сети, включающие 54 РЭС. В зону обслуживания которых входит Краснодар</w:t>
      </w:r>
      <w:r w:rsidRPr="001177B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177B6">
        <w:rPr>
          <w:rFonts w:ascii="Times New Roman" w:hAnsi="Times New Roman" w:cs="Times New Roman"/>
          <w:sz w:val="28"/>
          <w:szCs w:val="28"/>
        </w:rPr>
        <w:t xml:space="preserve">кий край и Республика Адыгея. Общая площадь обслуживаемой территории – Краснодарского края и Республики Адыгея составляет 83,3 тыс. кв. км с населением 6,1 млн. человек.  </w:t>
      </w: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7B6">
        <w:rPr>
          <w:rFonts w:ascii="Times New Roman" w:hAnsi="Times New Roman" w:cs="Times New Roman"/>
          <w:sz w:val="28"/>
          <w:szCs w:val="28"/>
        </w:rPr>
        <w:t xml:space="preserve">ПАО «Россети Кубань» осуществляет эксплуатацию: </w:t>
      </w:r>
    </w:p>
    <w:p w:rsidR="006D2D5D" w:rsidRPr="001177B6" w:rsidRDefault="006D2D5D" w:rsidP="006D2D5D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77B6">
        <w:rPr>
          <w:rFonts w:ascii="Times New Roman" w:hAnsi="Times New Roman" w:cs="Times New Roman"/>
          <w:sz w:val="28"/>
          <w:szCs w:val="28"/>
        </w:rPr>
        <w:t>741 ПС 35-220 кВ (11 561 МВА);</w:t>
      </w:r>
    </w:p>
    <w:p w:rsidR="006D2D5D" w:rsidRPr="001177B6" w:rsidRDefault="006D2D5D" w:rsidP="006D2D5D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77B6">
        <w:rPr>
          <w:rFonts w:ascii="Times New Roman" w:hAnsi="Times New Roman" w:cs="Times New Roman"/>
          <w:sz w:val="28"/>
          <w:szCs w:val="28"/>
        </w:rPr>
        <w:t>24 094 ТП 6-10/0,4 кВ (5640 МВА);</w:t>
      </w:r>
    </w:p>
    <w:p w:rsidR="006D2D5D" w:rsidRPr="001177B6" w:rsidRDefault="006D2D5D" w:rsidP="006D2D5D">
      <w:pPr>
        <w:pStyle w:val="a7"/>
        <w:numPr>
          <w:ilvl w:val="0"/>
          <w:numId w:val="1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177B6">
        <w:rPr>
          <w:rFonts w:ascii="Times New Roman" w:hAnsi="Times New Roman"/>
          <w:sz w:val="28"/>
          <w:szCs w:val="28"/>
        </w:rPr>
        <w:t>линий электропередач напряжением 0,4-220 кВ протяженностью 93 067 км по цепям (90 775 км по трассе).</w:t>
      </w: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D5D" w:rsidRPr="001177B6" w:rsidRDefault="006D2D5D" w:rsidP="006D2D5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77B6">
        <w:rPr>
          <w:rFonts w:ascii="Times New Roman" w:hAnsi="Times New Roman"/>
          <w:i/>
          <w:sz w:val="24"/>
          <w:szCs w:val="24"/>
        </w:rPr>
        <w:t>Основные производственные активы находящиеся в собственности Компании в 2019-2021 гг. по состоянию на конец отчетного года:</w:t>
      </w:r>
    </w:p>
    <w:p w:rsidR="006D2D5D" w:rsidRPr="001177B6" w:rsidRDefault="006D2D5D" w:rsidP="006D2D5D">
      <w:pPr>
        <w:ind w:firstLine="709"/>
        <w:jc w:val="both"/>
        <w:rPr>
          <w:rFonts w:ascii="Times New Roman" w:hAnsi="Times New Roman"/>
          <w:i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5"/>
        <w:gridCol w:w="968"/>
        <w:gridCol w:w="1388"/>
        <w:gridCol w:w="1796"/>
        <w:gridCol w:w="1519"/>
      </w:tblGrid>
      <w:tr w:rsidR="006D2D5D" w:rsidRPr="001177B6" w:rsidTr="006D2D5D">
        <w:trPr>
          <w:trHeight w:val="273"/>
        </w:trPr>
        <w:tc>
          <w:tcPr>
            <w:tcW w:w="188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Вид актива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6D2D5D" w:rsidRPr="001177B6" w:rsidTr="006D2D5D">
        <w:trPr>
          <w:trHeight w:val="88"/>
        </w:trPr>
        <w:tc>
          <w:tcPr>
            <w:tcW w:w="188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Общее количество </w:t>
            </w:r>
          </w:p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ПС 35-220 кВ, ТП6-10/0,4 кВ</w:t>
            </w:r>
          </w:p>
        </w:tc>
        <w:tc>
          <w:tcPr>
            <w:tcW w:w="532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6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23981</w:t>
            </w:r>
          </w:p>
        </w:tc>
        <w:tc>
          <w:tcPr>
            <w:tcW w:w="987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24186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24835</w:t>
            </w:r>
          </w:p>
        </w:tc>
      </w:tr>
      <w:tr w:rsidR="006D2D5D" w:rsidRPr="001177B6" w:rsidTr="006D2D5D">
        <w:trPr>
          <w:trHeight w:val="88"/>
        </w:trPr>
        <w:tc>
          <w:tcPr>
            <w:tcW w:w="188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Установленная мощность (всего)</w:t>
            </w:r>
          </w:p>
        </w:tc>
        <w:tc>
          <w:tcPr>
            <w:tcW w:w="532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МВА</w:t>
            </w:r>
          </w:p>
        </w:tc>
        <w:tc>
          <w:tcPr>
            <w:tcW w:w="76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15496,65</w:t>
            </w:r>
          </w:p>
        </w:tc>
        <w:tc>
          <w:tcPr>
            <w:tcW w:w="987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16544,33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17201,4</w:t>
            </w:r>
          </w:p>
        </w:tc>
      </w:tr>
      <w:tr w:rsidR="006D2D5D" w:rsidRPr="001177B6" w:rsidTr="006D2D5D">
        <w:trPr>
          <w:trHeight w:val="206"/>
        </w:trPr>
        <w:tc>
          <w:tcPr>
            <w:tcW w:w="188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Протяженность ЛЭП (по цепям) </w:t>
            </w:r>
          </w:p>
        </w:tc>
        <w:tc>
          <w:tcPr>
            <w:tcW w:w="532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76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91643,93</w:t>
            </w:r>
          </w:p>
        </w:tc>
        <w:tc>
          <w:tcPr>
            <w:tcW w:w="987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92226,11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</w:tr>
      <w:tr w:rsidR="006D2D5D" w:rsidRPr="001177B6" w:rsidTr="006D2D5D">
        <w:trPr>
          <w:trHeight w:val="204"/>
        </w:trPr>
        <w:tc>
          <w:tcPr>
            <w:tcW w:w="188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в т.ч. протяженность ВЛ</w:t>
            </w:r>
          </w:p>
        </w:tc>
        <w:tc>
          <w:tcPr>
            <w:tcW w:w="532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76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89177,99</w:t>
            </w:r>
          </w:p>
        </w:tc>
        <w:tc>
          <w:tcPr>
            <w:tcW w:w="987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89535,28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89726,8</w:t>
            </w:r>
          </w:p>
        </w:tc>
      </w:tr>
      <w:tr w:rsidR="006D2D5D" w:rsidRPr="001177B6" w:rsidTr="006D2D5D">
        <w:trPr>
          <w:trHeight w:val="204"/>
        </w:trPr>
        <w:tc>
          <w:tcPr>
            <w:tcW w:w="188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в т.ч. протяженность КЛ </w:t>
            </w:r>
          </w:p>
        </w:tc>
        <w:tc>
          <w:tcPr>
            <w:tcW w:w="532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763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177B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2465,94</w:t>
            </w:r>
          </w:p>
        </w:tc>
        <w:tc>
          <w:tcPr>
            <w:tcW w:w="987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2690,82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:rsidR="006D2D5D" w:rsidRPr="001177B6" w:rsidRDefault="006D2D5D" w:rsidP="006D2D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3340,2</w:t>
            </w:r>
          </w:p>
        </w:tc>
      </w:tr>
    </w:tbl>
    <w:p w:rsidR="006D2D5D" w:rsidRPr="001177B6" w:rsidRDefault="006D2D5D" w:rsidP="006D2D5D"/>
    <w:p w:rsidR="006D2D5D" w:rsidRPr="001177B6" w:rsidRDefault="006D2D5D" w:rsidP="006D2D5D">
      <w:pPr>
        <w:rPr>
          <w:rFonts w:ascii="Times New Roman" w:hAnsi="Times New Roman"/>
          <w:i/>
          <w:sz w:val="24"/>
          <w:szCs w:val="24"/>
        </w:rPr>
      </w:pPr>
      <w:r w:rsidRPr="001177B6">
        <w:rPr>
          <w:rFonts w:ascii="Times New Roman" w:hAnsi="Times New Roman"/>
          <w:i/>
          <w:sz w:val="24"/>
          <w:szCs w:val="24"/>
        </w:rPr>
        <w:t xml:space="preserve">Ключевые показатели деятельности в динамике за 2019-2021 годы. </w:t>
      </w:r>
    </w:p>
    <w:p w:rsidR="006D2D5D" w:rsidRPr="001177B6" w:rsidRDefault="006D2D5D" w:rsidP="006D2D5D">
      <w:pPr>
        <w:rPr>
          <w:rFonts w:ascii="Times New Roman" w:eastAsia="Calibri" w:hAnsi="Times New Roman"/>
          <w:bCs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1275"/>
        <w:gridCol w:w="1701"/>
      </w:tblGrid>
      <w:tr w:rsidR="006D2D5D" w:rsidRPr="001177B6" w:rsidTr="006D2D5D">
        <w:trPr>
          <w:trHeight w:val="173"/>
        </w:trPr>
        <w:tc>
          <w:tcPr>
            <w:tcW w:w="3261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vAlign w:val="center"/>
          </w:tcPr>
          <w:p w:rsidR="006D2D5D" w:rsidRPr="001177B6" w:rsidRDefault="006D2D5D" w:rsidP="006D2D5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2021 </w:t>
            </w:r>
          </w:p>
        </w:tc>
        <w:tc>
          <w:tcPr>
            <w:tcW w:w="1701" w:type="dxa"/>
            <w:vAlign w:val="center"/>
          </w:tcPr>
          <w:p w:rsidR="006D2D5D" w:rsidRPr="001177B6" w:rsidRDefault="006D2D5D" w:rsidP="006D2D5D">
            <w:pPr>
              <w:ind w:right="-3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Cs/>
                <w:lang w:eastAsia="ru-RU"/>
              </w:rPr>
              <w:t>Изменение показателей 2021 года по сравнению с 2020 годом, %</w:t>
            </w:r>
          </w:p>
        </w:tc>
      </w:tr>
      <w:tr w:rsidR="006D2D5D" w:rsidRPr="001177B6" w:rsidTr="006D2D5D">
        <w:trPr>
          <w:trHeight w:val="309"/>
        </w:trPr>
        <w:tc>
          <w:tcPr>
            <w:tcW w:w="3261" w:type="dxa"/>
            <w:vAlign w:val="center"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Операционные показатели:</w:t>
            </w:r>
          </w:p>
        </w:tc>
        <w:tc>
          <w:tcPr>
            <w:tcW w:w="850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D2D5D" w:rsidRPr="001177B6" w:rsidRDefault="006D2D5D" w:rsidP="006D2D5D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6D2D5D" w:rsidRPr="001177B6" w:rsidRDefault="006D2D5D" w:rsidP="006D2D5D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D2D5D" w:rsidRPr="001177B6" w:rsidRDefault="006D2D5D" w:rsidP="006D2D5D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D2D5D" w:rsidRPr="001177B6" w:rsidTr="006D2D5D">
        <w:trPr>
          <w:trHeight w:val="297"/>
        </w:trPr>
        <w:tc>
          <w:tcPr>
            <w:tcW w:w="3261" w:type="dxa"/>
            <w:vAlign w:val="center"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протяженность воздушных и кабельных линий электропередач (по цепям)</w:t>
            </w:r>
          </w:p>
        </w:tc>
        <w:tc>
          <w:tcPr>
            <w:tcW w:w="850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91 643,93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92226,11</w:t>
            </w:r>
          </w:p>
        </w:tc>
        <w:tc>
          <w:tcPr>
            <w:tcW w:w="1275" w:type="dxa"/>
            <w:vAlign w:val="center"/>
          </w:tcPr>
          <w:p w:rsidR="006D2D5D" w:rsidRPr="001177B6" w:rsidRDefault="006D2D5D" w:rsidP="006D2D5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  <w:tc>
          <w:tcPr>
            <w:tcW w:w="1701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0,9%</w:t>
            </w:r>
          </w:p>
        </w:tc>
      </w:tr>
      <w:tr w:rsidR="006D2D5D" w:rsidRPr="001177B6" w:rsidTr="006D2D5D">
        <w:trPr>
          <w:trHeight w:val="821"/>
        </w:trPr>
        <w:tc>
          <w:tcPr>
            <w:tcW w:w="3261" w:type="dxa"/>
            <w:vAlign w:val="center"/>
          </w:tcPr>
          <w:p w:rsidR="006D2D5D" w:rsidRPr="001177B6" w:rsidRDefault="006D2D5D" w:rsidP="006D2D5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напряжением </w:t>
            </w:r>
          </w:p>
          <w:p w:rsidR="006D2D5D" w:rsidRPr="001177B6" w:rsidRDefault="006D2D5D" w:rsidP="006D2D5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35-220 кВ </w:t>
            </w:r>
          </w:p>
        </w:tc>
        <w:tc>
          <w:tcPr>
            <w:tcW w:w="850" w:type="dxa"/>
            <w:vAlign w:val="center"/>
          </w:tcPr>
          <w:p w:rsidR="006D2D5D" w:rsidRPr="001177B6" w:rsidRDefault="006D2D5D" w:rsidP="006D2D5D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10514,97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11471,07</w:t>
            </w:r>
          </w:p>
        </w:tc>
        <w:tc>
          <w:tcPr>
            <w:tcW w:w="1275" w:type="dxa"/>
            <w:vAlign w:val="center"/>
          </w:tcPr>
          <w:p w:rsidR="006D2D5D" w:rsidRPr="001177B6" w:rsidRDefault="006D2D5D" w:rsidP="006D2D5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11 561,4</w:t>
            </w:r>
          </w:p>
        </w:tc>
        <w:tc>
          <w:tcPr>
            <w:tcW w:w="1701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6D2D5D" w:rsidRPr="001177B6" w:rsidTr="006D2D5D">
        <w:trPr>
          <w:trHeight w:val="900"/>
        </w:trPr>
        <w:tc>
          <w:tcPr>
            <w:tcW w:w="3261" w:type="dxa"/>
            <w:vAlign w:val="center"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Установленная мощность подстанций в распределительной сети напряжением 10-6кВ/0,4 кВ</w:t>
            </w:r>
          </w:p>
        </w:tc>
        <w:tc>
          <w:tcPr>
            <w:tcW w:w="850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4981,68</w:t>
            </w:r>
          </w:p>
        </w:tc>
        <w:tc>
          <w:tcPr>
            <w:tcW w:w="1276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5073,26</w:t>
            </w:r>
          </w:p>
        </w:tc>
        <w:tc>
          <w:tcPr>
            <w:tcW w:w="1275" w:type="dxa"/>
            <w:vAlign w:val="center"/>
          </w:tcPr>
          <w:p w:rsidR="006D2D5D" w:rsidRPr="001177B6" w:rsidRDefault="006D2D5D" w:rsidP="006D2D5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5640,0</w:t>
            </w:r>
          </w:p>
        </w:tc>
        <w:tc>
          <w:tcPr>
            <w:tcW w:w="1701" w:type="dxa"/>
            <w:vAlign w:val="center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</w:tbl>
    <w:p w:rsidR="006D2D5D" w:rsidRDefault="006D2D5D" w:rsidP="006D2D5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6D2D5D" w:rsidRPr="001177B6" w:rsidRDefault="006D2D5D" w:rsidP="006D2D5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1177B6">
        <w:rPr>
          <w:rFonts w:ascii="Times New Roman" w:hAnsi="Times New Roman"/>
          <w:b/>
          <w:sz w:val="28"/>
          <w:szCs w:val="28"/>
        </w:rPr>
        <w:t>п.1.4 Уровень физического износа объектов электросетевого хозяйства ПАО «Россети Кубань».</w:t>
      </w: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7B6">
        <w:rPr>
          <w:rFonts w:ascii="Times New Roman" w:hAnsi="Times New Roman" w:cs="Times New Roman"/>
          <w:sz w:val="28"/>
          <w:szCs w:val="28"/>
        </w:rPr>
        <w:t>Сведения по ИТС и физическому износу за 2020 и 2021 годы</w:t>
      </w: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2809"/>
        <w:gridCol w:w="1679"/>
        <w:gridCol w:w="1540"/>
        <w:gridCol w:w="1679"/>
        <w:gridCol w:w="1539"/>
      </w:tblGrid>
      <w:tr w:rsidR="006D2D5D" w:rsidRPr="001177B6" w:rsidTr="006D2D5D">
        <w:trPr>
          <w:trHeight w:val="31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ПАО "Россети Кубань"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6D2D5D" w:rsidRPr="001177B6" w:rsidTr="006D2D5D">
        <w:trPr>
          <w:trHeight w:val="94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 технического состояния*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Физический износ**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 технического состояния*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Физический износ**</w:t>
            </w:r>
          </w:p>
        </w:tc>
      </w:tr>
      <w:tr w:rsidR="006D2D5D" w:rsidRPr="001177B6" w:rsidTr="006D2D5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35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77,43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22,57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6D2D5D" w:rsidRPr="001177B6" w:rsidTr="006D2D5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80,17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19,83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6D2D5D" w:rsidRPr="001177B6" w:rsidTr="006D2D5D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84,65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32,71</w:t>
            </w:r>
          </w:p>
        </w:tc>
      </w:tr>
      <w:tr w:rsidR="006D2D5D" w:rsidRPr="001177B6" w:rsidTr="006D2D5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Трансформаторы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6D2D5D" w:rsidRPr="001177B6" w:rsidTr="006D2D5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Трансформаторы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8,98</w:t>
            </w:r>
          </w:p>
        </w:tc>
      </w:tr>
      <w:tr w:rsidR="006D2D5D" w:rsidRPr="001177B6" w:rsidTr="006D2D5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D5D" w:rsidRPr="001177B6" w:rsidRDefault="006D2D5D" w:rsidP="006D2D5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B6">
              <w:rPr>
                <w:rFonts w:ascii="Times New Roman" w:hAnsi="Times New Roman"/>
                <w:b/>
                <w:sz w:val="24"/>
                <w:szCs w:val="24"/>
              </w:rPr>
              <w:t>79,01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D5D" w:rsidRPr="001177B6" w:rsidRDefault="006D2D5D" w:rsidP="006D2D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B6">
              <w:rPr>
                <w:rFonts w:ascii="Times New Roman" w:hAnsi="Times New Roman"/>
                <w:b/>
                <w:sz w:val="24"/>
                <w:szCs w:val="24"/>
              </w:rPr>
              <w:t>20,99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D5D" w:rsidRPr="001177B6" w:rsidRDefault="006D2D5D" w:rsidP="006D2D5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20,33</w:t>
            </w:r>
          </w:p>
        </w:tc>
      </w:tr>
    </w:tbl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7B6">
        <w:rPr>
          <w:rFonts w:ascii="Times New Roman" w:hAnsi="Times New Roman" w:cs="Times New Roman"/>
          <w:sz w:val="24"/>
          <w:szCs w:val="24"/>
        </w:rPr>
        <w:t>*- ИТС рассчитан по методике оценки технического состояния, утвержденной приказом Минэнерго России от 26.07.2017 № 676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сетей».</w:t>
      </w:r>
    </w:p>
    <w:p w:rsidR="006D2D5D" w:rsidRPr="001177B6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D5D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7B6">
        <w:rPr>
          <w:rFonts w:ascii="Times New Roman" w:hAnsi="Times New Roman" w:cs="Times New Roman"/>
          <w:sz w:val="24"/>
          <w:szCs w:val="24"/>
        </w:rPr>
        <w:t>**- физический износ рассчитан в соответствии с постановлением Правительства Российской Федерации от 19 декабря 2016 года № 1401 «О комплексном определении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электросетевого хозяйства, и об осуществлении мониторинга таких показателей».</w:t>
      </w:r>
    </w:p>
    <w:p w:rsidR="006D2D5D" w:rsidRDefault="006D2D5D" w:rsidP="006D2D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0" w:name="sub_17200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 Информация о качестве услуг по передаче электрической энергии за 202</w:t>
      </w:r>
      <w:r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1</w:t>
      </w: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 год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(приказ Министерства энергетики РФ от 06.04.2015 №217 «О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15.04.2014 №186»)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1" w:name="sub_17201"/>
      <w:bookmarkEnd w:id="0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988"/>
        <w:gridCol w:w="1358"/>
      </w:tblGrid>
      <w:tr w:rsidR="006D2D5D" w:rsidRPr="001177B6" w:rsidTr="006D2D5D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bookmarkEnd w:id="1"/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Показатель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Значение показателя, годы</w:t>
            </w:r>
          </w:p>
        </w:tc>
      </w:tr>
      <w:tr w:rsidR="006D2D5D" w:rsidRPr="001177B6" w:rsidTr="006D2D5D">
        <w:trPr>
          <w:trHeight w:val="20"/>
          <w:tblHeader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2020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2021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Динамика изменения показателя, %</w:t>
            </w:r>
          </w:p>
        </w:tc>
      </w:tr>
      <w:tr w:rsidR="006D2D5D" w:rsidRPr="001177B6" w:rsidTr="006D2D5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продолжительности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SAIDI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0,8870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4,0939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361,6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1.1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0,0507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0,0060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-88,2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0,0902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0,7063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683,2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1.3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4,7741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9,7764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104,8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lastRenderedPageBreak/>
              <w:t>1.4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0,8655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4,0678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370,0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частоты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0,4592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1,2873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180,3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0,0300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0,0176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-41,2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0,0637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0,1581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148,1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1,7089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2,5547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49,5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2.4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0,4524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1,2815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183,3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SAIDI.план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15,0758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13,7224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-9,0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0,1262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-100,0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15,5354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17,8676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15,0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3.4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15,0788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13,7070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-9,1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I.план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3,1493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b/>
                <w:lang w:eastAsia="ru-RU"/>
              </w:rPr>
              <w:t xml:space="preserve">2,9465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-6,4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0,0199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0,0000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-100,0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3,5995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3,8581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7,2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4.4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3,1479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2,9431 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 xml:space="preserve">-6,5 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175</w:t>
            </w:r>
          </w:p>
        </w:tc>
      </w:tr>
      <w:tr w:rsidR="006D2D5D" w:rsidRPr="001177B6" w:rsidTr="006D2D5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5.1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1177B6">
              <w:rPr>
                <w:rFonts w:ascii="Times New Roman" w:eastAsia="Times New Roman" w:hAnsi="Times New Roman" w:cs="Arial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2D5D" w:rsidRPr="00032593" w:rsidRDefault="006D2D5D" w:rsidP="006D2D5D">
            <w:pPr>
              <w:jc w:val="center"/>
              <w:rPr>
                <w:rFonts w:ascii="Times New Roman" w:hAnsi="Times New Roman"/>
              </w:rPr>
            </w:pPr>
            <w:r w:rsidRPr="00032593">
              <w:rPr>
                <w:rFonts w:ascii="Times New Roman" w:hAnsi="Times New Roman"/>
              </w:rPr>
              <w:t>175</w:t>
            </w:r>
          </w:p>
        </w:tc>
      </w:tr>
    </w:tbl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32593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2" w:name="sub_17202"/>
      <w:r w:rsidRPr="00032593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0C7120" w:rsidRDefault="006D2D5D" w:rsidP="006D2D5D">
      <w:pPr>
        <w:spacing w:after="200" w:line="276" w:lineRule="auto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0C7120" w:rsidSect="000C7120">
          <w:pgSz w:w="11900" w:h="16800"/>
          <w:pgMar w:top="709" w:right="850" w:bottom="568" w:left="1701" w:header="720" w:footer="720" w:gutter="0"/>
          <w:cols w:space="720"/>
          <w:noEndnote/>
          <w:docGrid w:linePitch="381"/>
        </w:sect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  <w:bookmarkEnd w:id="2"/>
    </w:p>
    <w:tbl>
      <w:tblPr>
        <w:tblW w:w="4906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5"/>
        <w:gridCol w:w="1965"/>
        <w:gridCol w:w="854"/>
        <w:gridCol w:w="854"/>
        <w:gridCol w:w="854"/>
        <w:gridCol w:w="854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2149"/>
        <w:gridCol w:w="1984"/>
      </w:tblGrid>
      <w:tr w:rsidR="006D2D5D" w:rsidRPr="00032593" w:rsidTr="006D2D5D">
        <w:trPr>
          <w:trHeight w:val="2421"/>
        </w:trPr>
        <w:tc>
          <w:tcPr>
            <w:tcW w:w="4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Структурная единица сетевой организации</w:t>
            </w:r>
          </w:p>
        </w:tc>
        <w:tc>
          <w:tcPr>
            <w:tcW w:w="3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0088D5" wp14:editId="328E2E58">
                  <wp:extent cx="381000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94AD14" wp14:editId="49C09A34">
                  <wp:extent cx="371475" cy="1714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E890BB" wp14:editId="01055FF5">
                  <wp:extent cx="590550" cy="190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3EDD98" wp14:editId="74C7F4C5">
                  <wp:extent cx="571500" cy="190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периоде)*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6D2D5D" w:rsidRPr="00032593" w:rsidTr="006D2D5D">
        <w:trPr>
          <w:trHeight w:val="283"/>
        </w:trPr>
        <w:tc>
          <w:tcPr>
            <w:tcW w:w="40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CH2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CH1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</w:t>
            </w: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Адыгейские ЭС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6,7585 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1,8041 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1,5032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0,5951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26,7103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11,8705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5,5223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2,4724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Мероприятия, направленные на повышение качества электрической энергии выполняются в порядке текущей эксплуатации, а также путем включения в производственные программы. Срок выполнения: в течение года</w:t>
            </w: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Армавирские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0,2913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1,5494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2,7940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0,0952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0,4742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1,0031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3,8149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7,5341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0,5902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1,4219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Краснодарские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2,0433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16,7137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4,8769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0,4308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4,6890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1,6583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25,0570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16,8706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6,0669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3,8839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Лабинские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0,6349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3,5567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0,3333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1,3379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1,0460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10,1330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0,2024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2,1710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Ленинградские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0,0769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2,2936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0,0757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0,9359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0,6366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7,5653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0,2486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1,7508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Славянские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0,8469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2,9327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0,0793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0,9856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3,2509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11,3458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0,5667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2,2116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Сочинские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15,2453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10,3548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3,6711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2,2304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11,4968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6,9120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1,4971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1,0797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Тимашевские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6,1581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6,0096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1,3627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1,9308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40,9702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20,5129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7,3873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4,0374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Тихорецкие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0,8696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0,4528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0,8525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15,7914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0,1138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2,9046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Усть-Лабинские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0,0583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33,4248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2,5203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0,1667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6,4483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0,6216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29,0493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13,0258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5,6494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2,6385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032593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5D" w:rsidRPr="00032593" w:rsidRDefault="006D2D5D" w:rsidP="006D2D5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Юго-Западные ЭС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0,0256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0,7176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12,5976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5,4125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0,0769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0,2222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4,3023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1,8675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44,0192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23,3562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11,1581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6,1870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2D5D" w:rsidRPr="001177B6" w:rsidTr="006D2D5D"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</w:t>
            </w:r>
          </w:p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ПАО «Россети Кубань»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0,0060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0,7063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9,7764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4,0678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0,0176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0,1581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2,5547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1,2815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17,8676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13,7070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0,0000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3,8581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2,9431</w:t>
            </w:r>
            <w:r w:rsidRPr="001177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BF3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D2D5D" w:rsidRPr="001177B6" w:rsidRDefault="00AF1BF3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2D5D" w:rsidRPr="001177B6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D2D5D" w:rsidRPr="001177B6" w:rsidRDefault="006D2D5D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0C7120" w:rsidSect="006D2D5D">
          <w:pgSz w:w="23814" w:h="16839" w:orient="landscape" w:code="8"/>
          <w:pgMar w:top="720" w:right="1559" w:bottom="720" w:left="1701" w:header="720" w:footer="720" w:gutter="0"/>
          <w:cols w:space="720"/>
          <w:noEndnote/>
          <w:docGrid w:linePitch="381"/>
        </w:sectPr>
      </w:pP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>*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>в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компетенции заместителя Генерального директора по развитию и технологическому присоединению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3" w:name="sub_17203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2D5D" w:rsidRPr="00032593" w:rsidRDefault="006D2D5D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EBB">
        <w:rPr>
          <w:rFonts w:ascii="Times New Roman" w:eastAsia="MS Mincho" w:hAnsi="Times New Roman"/>
          <w:sz w:val="28"/>
          <w:szCs w:val="28"/>
          <w:lang w:eastAsia="ru-RU"/>
        </w:rPr>
        <w:t>П</w:t>
      </w:r>
      <w:r w:rsidRPr="00024EBB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рограмма ТОиР 2021 года по основным технологическим направлениям деятельности энергосистемы своевременно реализована в полном объеме, в физическом выражении по основным номенклатурным позициям и составляет более чем 100%. Для обеспечения безусловной надежности работы энергосистемы выполнены дополнительные объемы работ на ЛЭП, ПС, в том числе по результатам осмотров и испытаний для устранения выявленных дефектов, за счет оперативного перераспределения лимитов затрат фонда ТОиР 2021 года, а также </w:t>
      </w:r>
      <w:r w:rsidRPr="00024EBB">
        <w:rPr>
          <w:rFonts w:ascii="Times New Roman" w:hAnsi="Times New Roman"/>
          <w:sz w:val="28"/>
          <w:szCs w:val="28"/>
        </w:rPr>
        <w:t>в счет сверхплановой выручки по другим направлениям деятельности Общества</w:t>
      </w: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. По основным номенклатурным позициям выполнение в 2021 году составило:</w:t>
      </w:r>
    </w:p>
    <w:p w:rsidR="006D2D5D" w:rsidRPr="00032593" w:rsidRDefault="006D2D5D" w:rsidP="00011D53">
      <w:pPr>
        <w:pStyle w:val="a7"/>
        <w:numPr>
          <w:ilvl w:val="0"/>
          <w:numId w:val="10"/>
        </w:numPr>
        <w:tabs>
          <w:tab w:val="left" w:pos="993"/>
        </w:tabs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расчистка трасс от ДКР на ВЛ 0,4-110 кВ – 1 701,8 га или 117% от плана (1 455,8 га);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изоляторов на ВЛ – 77 100 шт. или 114% от плана (67 406 шт.), 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провода на ВЛ – 1 014,2 км или 114% от плана (886,2 км), 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опор на ВЛ – 6 673 шт. или 108% от плана (6 180 шт.), 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– ремонт кабельных линий – 26,12 км или 185% от плана (14,11 км);</w:t>
      </w:r>
    </w:p>
    <w:p w:rsidR="006D2D5D" w:rsidRPr="00032593" w:rsidRDefault="006D2D5D" w:rsidP="00011D53">
      <w:pPr>
        <w:tabs>
          <w:tab w:val="left" w:pos="993"/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– ремонт ЗТП, КТП 10/0,4 кВ – 1 909 шт. или 108% от плана (1 775 шт.);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– ремонт силовых трансформаторов – 636 шт. или 117% от плана (545 шт.);</w:t>
      </w:r>
    </w:p>
    <w:p w:rsidR="006D2D5D" w:rsidRPr="00032593" w:rsidRDefault="006D2D5D" w:rsidP="00011D53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 xml:space="preserve">– ремонт коммутационных аппаратов – 2 813 шт., или 102% от плана </w:t>
      </w: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br/>
        <w:t>(2 767 шт.).</w:t>
      </w:r>
    </w:p>
    <w:p w:rsidR="006D2D5D" w:rsidRPr="00032593" w:rsidRDefault="006D2D5D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Кроме этого, в целях повышения надежности работы электросетевого комплекса, в соответствии с комплексной программой повышения надежности работы подстанционного оборудования и ЛЭП основной сети, распределительной сети 0,4 – 10 кВ в 2021 году, выполнено следующее:</w:t>
      </w:r>
    </w:p>
    <w:p w:rsidR="006D2D5D" w:rsidRPr="00032593" w:rsidRDefault="006D2D5D" w:rsidP="006D2D5D">
      <w:pPr>
        <w:numPr>
          <w:ilvl w:val="0"/>
          <w:numId w:val="1"/>
        </w:numPr>
        <w:tabs>
          <w:tab w:val="clear" w:pos="1064"/>
          <w:tab w:val="num" w:pos="709"/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восстановлены источники реактивной мощности – заменено 438 конденсаторов (БСК);</w:t>
      </w:r>
    </w:p>
    <w:p w:rsidR="006D2D5D" w:rsidRPr="00032593" w:rsidRDefault="006D2D5D" w:rsidP="006D2D5D">
      <w:pPr>
        <w:numPr>
          <w:ilvl w:val="0"/>
          <w:numId w:val="1"/>
        </w:numPr>
        <w:tabs>
          <w:tab w:val="clear" w:pos="1064"/>
          <w:tab w:val="num" w:pos="709"/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восстановлены механические и электромагнитные блокировки на 18 ПС 35-110 кВ;</w:t>
      </w:r>
    </w:p>
    <w:p w:rsidR="006D2D5D" w:rsidRPr="00032593" w:rsidRDefault="006D2D5D" w:rsidP="006D2D5D">
      <w:pPr>
        <w:numPr>
          <w:ilvl w:val="0"/>
          <w:numId w:val="1"/>
        </w:numPr>
        <w:tabs>
          <w:tab w:val="clear" w:pos="1064"/>
          <w:tab w:val="num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замена 340 физически изношенных вводов 35-110 кВ масляных выключателей и силовых трансформаторов;</w:t>
      </w:r>
    </w:p>
    <w:p w:rsidR="006D2D5D" w:rsidRPr="00032593" w:rsidRDefault="006D2D5D" w:rsidP="006D2D5D">
      <w:pPr>
        <w:pStyle w:val="a7"/>
        <w:numPr>
          <w:ilvl w:val="0"/>
          <w:numId w:val="4"/>
        </w:numPr>
        <w:tabs>
          <w:tab w:val="num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выполнено тепловизионное обследование 539 ВЛ и КВЛ 35 кВ и выше, 1124 подстанций 35 кВ и выше, 6825 ТП и ВЛ 0,4 – 10 кВ;</w:t>
      </w:r>
    </w:p>
    <w:p w:rsidR="006D2D5D" w:rsidRPr="00032593" w:rsidRDefault="006D2D5D" w:rsidP="006D2D5D">
      <w:pPr>
        <w:pStyle w:val="a7"/>
        <w:widowControl w:val="0"/>
        <w:numPr>
          <w:ilvl w:val="0"/>
          <w:numId w:val="16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032593">
        <w:rPr>
          <w:rFonts w:ascii="Times New Roman" w:eastAsia="Times New Roman" w:hAnsi="Times New Roman"/>
          <w:sz w:val="28"/>
          <w:szCs w:val="28"/>
          <w:lang w:eastAsia="ru-RU"/>
        </w:rPr>
        <w:t>выполнена замена РВС 35 - 110 кВ, отработавших более 25 лет, на ОПН соответствующего класса напряжения в количестве 380 шт.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bookmarkEnd w:id="3"/>
    <w:p w:rsidR="00011D53" w:rsidRP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Сведения о качестве</w:t>
      </w:r>
      <w:r w:rsidRPr="00011D53">
        <w:rPr>
          <w:rFonts w:ascii="Times New Roman" w:hAnsi="Times New Roman" w:cs="Times New Roman"/>
          <w:b/>
          <w:sz w:val="28"/>
          <w:szCs w:val="28"/>
        </w:rPr>
        <w:t xml:space="preserve"> услуг по технологическому присоединению к электрическим сетям ПАО "Россети Кубань"</w:t>
      </w:r>
    </w:p>
    <w:p w:rsid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1D53" w:rsidRP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ПАО «Россети Кубань» реализованы следующие мероприятия в целях совершенствования деятельности по технологическому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присоединению.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зданы актуальные организационно-распорядительные документы, регламентирующие деятельность направления «взаимодействие с клиентами»:</w:t>
      </w:r>
    </w:p>
    <w:p w:rsidR="00011D53" w:rsidRDefault="00011D53" w:rsidP="00011D5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Регламент процесса «Управление взаимодействием с потребителями услуг» (приказ Общества от 31.03.2021 №178-од);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Паспорта услуг (процессов) оказываемых ПАО «Россети Кубань» (приказ Общества от 12.05.2021 №262-од); 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Регламент рассмотрения обращений потребителей услуг                                  ПАО «Россети Кубань» (приказы Общества от 23.03.2021 №155-од и                              от 29.03.2021 №169-од); 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Порядок и график работы операторов резервного контактного центра (приказы Общества от 24.03.2021 №169-од, от 15.10.2021 №586-од и                               от 14.12.2021 №742-од).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Также, реализован новый функционал информационной системой Общества «Технологическое присоединение» (КПК ТП) в целях автоматического обмена данными между КПК ТП и Порталом электросетевых услуг группы компаний «Россети» в части приема и обработки заявок на технологическое присоединение и других документов о технологическом присоединении; 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организовано три обучающих семинара для сотрудников направления «технологическое присоединение и взаимодействие с клиентами» филиалов Общества по работе с новым функционалом КПК ТП;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организованны выездные проверки деятельности центров обслуживания потребителей и пунктов по работе с потребителями филиалов Общества;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организовано проведение аттестации сотрудников, осуществляющих взаимодействие с клиентами исполнительного аппарата Общества, а также Краснодарским и Сочинским филиалах Общества;</w:t>
      </w:r>
    </w:p>
    <w:p w:rsidR="006D2D5D" w:rsidRDefault="006D2D5D" w:rsidP="00757CF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D5D" w:rsidRPr="00155E6D" w:rsidRDefault="006D2D5D" w:rsidP="00757CF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891" w:rsidRPr="00766E37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E37">
        <w:rPr>
          <w:rFonts w:ascii="Times New Roman" w:eastAsia="Times New Roman" w:hAnsi="Times New Roman"/>
          <w:b/>
          <w:sz w:val="28"/>
          <w:szCs w:val="28"/>
          <w:lang w:eastAsia="ru-RU"/>
        </w:rPr>
        <w:t>4. Качество обслуживания потребителей услуг ПАО «Россети Кубань»</w:t>
      </w:r>
    </w:p>
    <w:p w:rsidR="00797891" w:rsidRPr="00797891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E37">
        <w:rPr>
          <w:rFonts w:ascii="Times New Roman" w:eastAsia="Times New Roman" w:hAnsi="Times New Roman"/>
          <w:b/>
          <w:sz w:val="28"/>
          <w:szCs w:val="28"/>
          <w:lang w:eastAsia="ru-RU"/>
        </w:rPr>
        <w:t>за 202</w:t>
      </w:r>
      <w:r w:rsidR="00212CDB" w:rsidRPr="00766E3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766E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797891" w:rsidRPr="00797891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891">
        <w:rPr>
          <w:rFonts w:ascii="Times New Roman" w:eastAsia="Times New Roman" w:hAnsi="Times New Roman"/>
          <w:sz w:val="24"/>
          <w:szCs w:val="24"/>
          <w:lang w:eastAsia="ru-RU"/>
        </w:rPr>
        <w:t>(в соответствии с разделом 4 приложения 7 к Единым стандартам качества обслуживания сетевыми организациями потребителей сетевых организаций)</w:t>
      </w:r>
    </w:p>
    <w:p w:rsidR="00797891" w:rsidRPr="00797891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086973" w:rsidRDefault="00797891" w:rsidP="00797891">
      <w:pPr>
        <w:tabs>
          <w:tab w:val="left" w:pos="567"/>
        </w:tabs>
        <w:spacing w:before="120" w:after="12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6973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обращений потребителей услуг</w:t>
      </w:r>
    </w:p>
    <w:p w:rsidR="00797891" w:rsidRPr="00E303B3" w:rsidRDefault="000F2843" w:rsidP="000F2843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97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212CDB" w:rsidRPr="0008697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общее количество обращений от потребителей услуг составило </w:t>
      </w:r>
      <w:r w:rsidR="00086973" w:rsidRPr="00086973">
        <w:rPr>
          <w:rFonts w:ascii="Times New Roman" w:eastAsia="Times New Roman" w:hAnsi="Times New Roman"/>
          <w:sz w:val="28"/>
          <w:szCs w:val="28"/>
          <w:lang w:eastAsia="ru-RU"/>
        </w:rPr>
        <w:t>1 028 978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> шт., из них</w:t>
      </w:r>
      <w:r w:rsidR="002C54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C54DE" w:rsidRPr="00E303B3">
        <w:rPr>
          <w:rFonts w:ascii="Times New Roman" w:eastAsia="Times New Roman" w:hAnsi="Times New Roman"/>
          <w:sz w:val="28"/>
          <w:szCs w:val="28"/>
          <w:lang w:eastAsia="ru-RU"/>
        </w:rPr>
        <w:t>телефону 875 864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, заочных обращений через интернет сервисы – 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87 534</w:t>
      </w:r>
      <w:r w:rsidR="00797891"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 </w:t>
      </w:r>
    </w:p>
    <w:p w:rsidR="00797891" w:rsidRPr="00797891" w:rsidRDefault="00797891" w:rsidP="00797891">
      <w:pPr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По сравнению с 20</w:t>
      </w:r>
      <w:r w:rsidR="00212CDB" w:rsidRPr="00E303B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(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783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282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шт.) общее количество обращений у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величилось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245 696 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т. </w:t>
      </w:r>
    </w:p>
    <w:p w:rsid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Наибольшее колич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 xml:space="preserve">ество обращений в 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ПАО «Россети Ку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>бань» в 202</w:t>
      </w:r>
      <w:r w:rsidR="00212CD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поступило по </w:t>
      </w:r>
      <w:r w:rsidR="000412D0" w:rsidRPr="00E303B3">
        <w:rPr>
          <w:rFonts w:ascii="Times New Roman" w:eastAsia="Times New Roman" w:hAnsi="Times New Roman"/>
          <w:sz w:val="28"/>
          <w:szCs w:val="28"/>
          <w:lang w:eastAsia="ru-RU"/>
        </w:rPr>
        <w:t>тематике «отключение электрической энергии».</w:t>
      </w:r>
    </w:p>
    <w:p w:rsidR="00C6119B" w:rsidRPr="00797891" w:rsidRDefault="00C6119B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видам обращений наибольшее количество поступило: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4002"/>
        <w:gridCol w:w="4820"/>
      </w:tblGrid>
      <w:tr w:rsidR="00797891" w:rsidRPr="00797891" w:rsidTr="000412D0">
        <w:tc>
          <w:tcPr>
            <w:tcW w:w="534" w:type="dxa"/>
            <w:shd w:val="clear" w:color="auto" w:fill="D5DCE4" w:themeFill="text2" w:themeFillTint="33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4002" w:type="dxa"/>
            <w:shd w:val="clear" w:color="auto" w:fill="D5DCE4" w:themeFill="text2" w:themeFillTint="33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обращения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:rsidR="00797891" w:rsidRPr="00E303B3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Тематика обращения</w:t>
            </w:r>
          </w:p>
        </w:tc>
      </w:tr>
      <w:tr w:rsidR="00797891" w:rsidRPr="00797891" w:rsidTr="000412D0">
        <w:tc>
          <w:tcPr>
            <w:tcW w:w="534" w:type="dxa"/>
          </w:tcPr>
          <w:p w:rsidR="00797891" w:rsidRPr="00797891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2" w:type="dxa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Жалоб</w:t>
            </w:r>
            <w:r w:rsidR="00144904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4820" w:type="dxa"/>
          </w:tcPr>
          <w:p w:rsidR="00797891" w:rsidRPr="00E303B3" w:rsidRDefault="00D15DA3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Отключение электрической энергии</w:t>
            </w:r>
          </w:p>
        </w:tc>
      </w:tr>
      <w:tr w:rsidR="000412D0" w:rsidRPr="00797891" w:rsidTr="000412D0">
        <w:tc>
          <w:tcPr>
            <w:tcW w:w="534" w:type="dxa"/>
          </w:tcPr>
          <w:p w:rsidR="000412D0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2" w:type="dxa"/>
          </w:tcPr>
          <w:p w:rsidR="000412D0" w:rsidRPr="00E303B3" w:rsidRDefault="00144904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Заявки</w:t>
            </w:r>
            <w:r w:rsidR="000412D0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оказание услуг</w:t>
            </w:r>
          </w:p>
        </w:tc>
        <w:tc>
          <w:tcPr>
            <w:tcW w:w="4820" w:type="dxa"/>
          </w:tcPr>
          <w:p w:rsidR="000412D0" w:rsidRPr="00E303B3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Дополнительные </w:t>
            </w:r>
            <w:r w:rsidR="00A91C75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</w:t>
            </w:r>
          </w:p>
        </w:tc>
      </w:tr>
      <w:tr w:rsidR="00797891" w:rsidRPr="00797891" w:rsidTr="000412D0">
        <w:tc>
          <w:tcPr>
            <w:tcW w:w="534" w:type="dxa"/>
          </w:tcPr>
          <w:p w:rsidR="00797891" w:rsidRPr="00797891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2" w:type="dxa"/>
          </w:tcPr>
          <w:p w:rsidR="00797891" w:rsidRPr="00E303B3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Консультации</w:t>
            </w:r>
            <w:r w:rsidR="00797891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797891" w:rsidRPr="00E303B3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Отключение электрической энергии</w:t>
            </w:r>
          </w:p>
        </w:tc>
      </w:tr>
    </w:tbl>
    <w:p w:rsidR="00797891" w:rsidRPr="00797891" w:rsidRDefault="00797891" w:rsidP="00797891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*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</w:t>
      </w:r>
      <w:r w:rsidR="00B23B1A">
        <w:rPr>
          <w:rFonts w:ascii="Times New Roman" w:eastAsia="Times New Roman" w:hAnsi="Times New Roman"/>
          <w:i/>
          <w:sz w:val="24"/>
          <w:szCs w:val="24"/>
          <w:lang w:eastAsia="ru-RU"/>
        </w:rPr>
        <w:t>их в ПАО "Россети Кубань" в 2021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году)</w:t>
      </w:r>
    </w:p>
    <w:p w:rsidR="00797891" w:rsidRPr="00797891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Наиболее эффективной формой взаимодействия с потребителями услуг в 202</w:t>
      </w:r>
      <w:r w:rsidR="00212CD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являлось заочное обслуживание – информирование потребителей по телефону </w:t>
      </w:r>
      <w:r w:rsidRPr="00E303B3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="006D2D5D">
        <w:rPr>
          <w:rFonts w:ascii="Times New Roman" w:eastAsia="Times New Roman" w:hAnsi="Times New Roman"/>
          <w:sz w:val="28"/>
          <w:szCs w:val="28"/>
          <w:lang w:eastAsia="ru-RU"/>
        </w:rPr>
        <w:t>-центра ПАО «Россети Кубань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1C75" w:rsidRPr="00D15DA3" w:rsidRDefault="00797891" w:rsidP="00D15DA3">
      <w:pPr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Операторами Call-центра в 202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принято 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>875 864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по основным вопросам деятельности Компании. По сравнению с 20</w:t>
      </w:r>
      <w:r w:rsidR="00B23B1A" w:rsidRPr="00E303B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количество звонков увеличилось на </w:t>
      </w:r>
      <w:r w:rsidR="00D15DA3" w:rsidRPr="00E303B3">
        <w:rPr>
          <w:rFonts w:ascii="Times New Roman" w:eastAsia="Times New Roman" w:hAnsi="Times New Roman"/>
          <w:sz w:val="28"/>
          <w:szCs w:val="28"/>
          <w:lang w:eastAsia="ru-RU"/>
        </w:rPr>
        <w:t>204856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среднее время обработки телефонного вызова от потребителя на единый федера</w:t>
      </w:r>
      <w:r w:rsidR="00D52D8D">
        <w:rPr>
          <w:rFonts w:ascii="Times New Roman" w:eastAsia="Times New Roman" w:hAnsi="Times New Roman"/>
          <w:sz w:val="28"/>
          <w:szCs w:val="28"/>
          <w:lang w:eastAsia="ru-RU"/>
        </w:rPr>
        <w:t>льный номер составило 1,</w:t>
      </w:r>
      <w:r w:rsidR="00B23B1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52D8D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Работа с жалобами потребителей услуг </w:t>
      </w:r>
    </w:p>
    <w:p w:rsidR="00797891" w:rsidRPr="00797891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поступивших в ПАО "Россети Кубань" в 202</w:t>
      </w:r>
      <w:r w:rsidR="00B23B1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году, таблицу 4.4. Информация по обращениям потребителей услуг 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ПАО "Россети Кубань " за 202</w:t>
      </w:r>
      <w:r w:rsidR="00B23B1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797891" w:rsidRPr="006D2D5D" w:rsidRDefault="00797891" w:rsidP="00797891">
      <w:pPr>
        <w:spacing w:before="60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В отчетном году в ПАО «Россети Кубань» поступило 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>10956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 жалоб от</w:t>
      </w:r>
      <w:r w:rsidR="00086973" w:rsidRPr="006D2D5D">
        <w:rPr>
          <w:rFonts w:ascii="Times New Roman" w:eastAsia="Times New Roman" w:hAnsi="Times New Roman"/>
          <w:sz w:val="28"/>
          <w:szCs w:val="28"/>
          <w:lang w:eastAsia="ru-RU"/>
        </w:rPr>
        <w:t> потребителей услуг, из которых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3 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>092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 обоснованные жалобы.</w:t>
      </w:r>
      <w:r w:rsidRPr="006D2D5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97891" w:rsidRPr="006D2D5D" w:rsidRDefault="00086973" w:rsidP="000F284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потребителей услуг 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ссмотрены, выполнены 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</w:t>
      </w:r>
    </w:p>
    <w:p w:rsidR="00797891" w:rsidRDefault="00797891" w:rsidP="000F284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направленные на устранение их причин, запланированные на отчетный период.</w:t>
      </w:r>
    </w:p>
    <w:p w:rsidR="00AF1BF3" w:rsidRDefault="00AF1BF3" w:rsidP="0079789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Очное обслуживание потребителей услуг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4.2. Информация о деятельности офисов обслуживания потребителей ПАО "Россети Кубань"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202</w:t>
      </w:r>
      <w:r w:rsidR="00D2434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В ПАО «Россети Кубань» осуществляют взаимодействие с потребителями услуг 13 центров обслуживания потребителей и 41 пункт по работе с потребителями в районах электрических сетей.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Услуги, оказываемые в офисах обслуживания: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жалобы потребителя в письменной форме;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прием заявки/заявления на оказание услуг в письменной форме, в том числе: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заявки на технологическое присоединение;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заявления о продлении срока действия ранее выданных технических условий;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перераспределение присоединенной мощности;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о необходимости снятия показаний существующего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осуществление допуска в эксплуатацию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заявления на оборудование точки поставки приборами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установку, замену и (и</w:t>
      </w:r>
      <w:r w:rsidR="00F44FC9">
        <w:rPr>
          <w:rFonts w:ascii="Times New Roman" w:eastAsia="Times New Roman" w:hAnsi="Times New Roman"/>
          <w:sz w:val="28"/>
          <w:szCs w:val="28"/>
          <w:lang w:eastAsia="ru-RU"/>
        </w:rPr>
        <w:t>ли) эксплуатацию приборов учета;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заявок на оказание дополнительных услуг, проверка соблюдения требований к форме, полноте сведений в заявке и наличия документов, приложенных к заявке, в соответствии с нормативными правовыми актами и организационн</w:t>
      </w:r>
      <w:r w:rsidR="00F44FC9">
        <w:rPr>
          <w:rFonts w:ascii="Times New Roman" w:eastAsia="Times New Roman" w:hAnsi="Times New Roman"/>
          <w:sz w:val="28"/>
          <w:szCs w:val="28"/>
          <w:lang w:eastAsia="ru-RU"/>
        </w:rPr>
        <w:t>о-распорядительными документами;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сообщений о бездоговорном (безучетном) потреблении электрической энергии, о хищении объектов электросетевого хозяйства;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консультаций по вопросам оказания услуг сетевой организации;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797891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проведение целевых опросов, анкетирования потребителей для оценки качества 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азываемых услуг и обслуживания.</w:t>
      </w:r>
    </w:p>
    <w:p w:rsidR="000F2843" w:rsidRPr="00797891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телефонной связи</w:t>
      </w:r>
    </w:p>
    <w:p w:rsidR="00797891" w:rsidRPr="00797891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4.3. Информация о заочном обслуживании потребителей посредством телефонной связи в ПАО "Россети Кубань")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97891" w:rsidRPr="00797891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С 2012 года в ПАО «Россети Кубань» организована работа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-центра с едиными федеральными номерами 8-800-100-15-52 и 8-800-220-0-220</w:t>
      </w:r>
      <w:r w:rsidR="001A07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Операторы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принимают сообщения потребителей о фактах хищения электроэнергии и предоставляют консультации по технологическому присоединению и другим услугам компании. Режим работы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- круглосуточно.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Функциональные возможности оборудования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-центра: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прием и управление входящими вызовами,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осуществление и управление исходящими вызовами,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функция определения номера,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система автоматического распределения звонков,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аудиозапись телефонных переговоров,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модуль отчетности и статистики.</w:t>
      </w:r>
    </w:p>
    <w:p w:rsidR="00797891" w:rsidRPr="006D2D5D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Операторами Call-центра в 202</w:t>
      </w:r>
      <w:r w:rsidR="00D2434A" w:rsidRPr="006D2D5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принято 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875864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по основным вопросам деятельности Компании. По сравнению с 20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количество звонков увеличилось на 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204856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шт. При этом среднее время обработки телефонного вызова от потребителя на единый 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федеральный номер составило 1,20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</w:p>
    <w:p w:rsidR="00797891" w:rsidRPr="006D2D5D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Основным вопросом потребителей, обращающихся в Call-центр      ПАО «Россети Кубань» в 202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являлось отключение электрической энергии (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%).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по вопросам деятельности Общества специалистами офисов обслуживания потребителей осуществляется консультирование </w:t>
      </w:r>
      <w:r w:rsidR="0071168A" w:rsidRPr="006D2D5D">
        <w:rPr>
          <w:rFonts w:ascii="Times New Roman" w:eastAsia="Times New Roman" w:hAnsi="Times New Roman"/>
          <w:sz w:val="28"/>
          <w:szCs w:val="28"/>
          <w:lang w:eastAsia="ru-RU"/>
        </w:rPr>
        <w:t>посредством телефонной связи. В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12CDB" w:rsidRPr="006D2D5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было предоставлено 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546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консультации.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сети Интернет</w:t>
      </w:r>
      <w:r w:rsidR="001A079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6D2D5D" w:rsidRDefault="00797891" w:rsidP="006D2D5D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Интерактивное обслуживание в ПАО «Россети Кубань» в 202</w:t>
      </w:r>
      <w:r w:rsidR="0071168A" w:rsidRPr="006D2D5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осуществлялось посредством </w:t>
      </w:r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Портала электросетевых услуг группы компаний ПАО «Россети» </w:t>
      </w:r>
      <w:hyperlink r:id="rId11" w:history="1">
        <w:r w:rsidR="006D2D5D" w:rsidRPr="006D2D5D">
          <w:rPr>
            <w:rStyle w:val="ad"/>
            <w:rFonts w:ascii="Times New Roman" w:eastAsia="Times New Roman" w:hAnsi="Times New Roman"/>
            <w:bCs/>
            <w:sz w:val="28"/>
            <w:szCs w:val="28"/>
            <w:lang w:eastAsia="ru-RU"/>
          </w:rPr>
          <w:t>www.портал-тп.рф</w:t>
        </w:r>
      </w:hyperlink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2A8F" w:rsidRPr="006D2D5D" w:rsidRDefault="00C62A8F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потребителям предоставлена возможность: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присоединение;</w:t>
      </w:r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услуги по организации учета электроэнергии;</w:t>
      </w:r>
    </w:p>
    <w:p w:rsidR="00C62A8F" w:rsidRPr="006D2D5D" w:rsidRDefault="00C62A8F" w:rsidP="00C62A8F">
      <w:pPr>
        <w:ind w:left="708" w:firstLine="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заявку на оказание дополнительных услуг; 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 посредством перераспределения (снижения) максимальной мощности в пользу сетевой организации;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текущие показания приборов учета электроэнергии;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контролировать состояние исполнения заявки/договора ТП;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передачу объектов электросетевого хозяйства в собственность ПАО "Россети Кубань";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заявление о выполнении технических условий;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счет на оплату услуги по технологическому присоединению;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документов по результатам оказания услуги по технологическому присоединению;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электронную копию проекта договора об осуществлении технологического присоединения;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обращение, в том числе содержащее жалобу; 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сведения о статусе рассмотрения обращения, направленного в электронной форме;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предоставить информацию о хищении электроэнергии (безучетном потреблении) другим потребителем;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актов безучетного/бездоговорного потребления электрической энергии;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временное технологическое присоединение;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переоформление документов о технологическом присоединении;</w:t>
      </w:r>
    </w:p>
    <w:p w:rsidR="00797891" w:rsidRPr="002C4157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>Также, в ПАО «Россети Кубань» потреб</w:t>
      </w:r>
      <w:r w:rsidR="00867D2B"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ителям услуг предоставлен                         </w:t>
      </w: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e-mail сервис, посредством которого потребитель может обратиться к специалистам департамента взаимодействия с клиентами на электронный адрес </w:t>
      </w:r>
      <w:r w:rsidR="00C62A8F" w:rsidRPr="002C415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client.service@rosseti-kuban.ru</w:t>
      </w: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 и в кратчайшие сроки получить ответ на свой электронный адрес.</w:t>
      </w:r>
    </w:p>
    <w:p w:rsidR="00AF1BF3" w:rsidRDefault="00AF1BF3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22C4" w:rsidRPr="00D2434A" w:rsidRDefault="00964DD5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Оказание </w:t>
      </w:r>
      <w:r w:rsidR="0075678D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75678D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полнительных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 w:rsidR="00E222C4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ПАО «Россети Кубань»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D2434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</w:t>
      </w:r>
      <w:r w:rsidR="00EA0EE3" w:rsidRPr="00D243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B23B1A" w:rsidRPr="00B23B1A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>Наряду с основными видами деятельности ПАО «Россети Кубань» оказываются дополнительные услуги, такие как:</w:t>
      </w:r>
    </w:p>
    <w:p w:rsidR="00B23B1A" w:rsidRPr="00B23B1A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аренда объектов и размещение оборудования, </w:t>
      </w:r>
    </w:p>
    <w:p w:rsidR="00B23B1A" w:rsidRPr="00B23B1A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техническое и ремонтно-эксплуатационное обслуживание, </w:t>
      </w:r>
    </w:p>
    <w:p w:rsidR="00B23B1A" w:rsidRPr="00B23B1A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выполнение строительно-монтажных работ, </w:t>
      </w:r>
    </w:p>
    <w:p w:rsidR="00B23B1A" w:rsidRPr="00B23B1A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консультационные и организационно-технические услуги, </w:t>
      </w:r>
    </w:p>
    <w:p w:rsidR="00B23B1A" w:rsidRPr="00B23B1A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>- прочие услуги.</w:t>
      </w:r>
    </w:p>
    <w:p w:rsidR="00B23B1A" w:rsidRPr="00B23B1A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>За 2021 год в ПАО «Россети Кубань» поступило 67 919 заявок на оказание дополнительных услуг, 39 934 из которых были исполнены.</w:t>
      </w:r>
    </w:p>
    <w:p w:rsidR="00B23B1A" w:rsidRPr="00B23B1A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Выручка от реализации дополнительных услуг в 2021 году составила </w:t>
      </w: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795,815 млн. руб., что на 48% больше запланированного. </w:t>
      </w:r>
    </w:p>
    <w:p w:rsidR="00B23B1A" w:rsidRPr="00B23B1A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>Наиболее значимыми по выручке в 2021 году стали услуги по размещению телекоммуникационного оборудования связи, в том числе волоконно-оптических линий связи, строительно-монтажные работы, реконструкция и перевооружение электросетевых объектов потребителя, оперативно-техническое обслуживание электросетевых объектов потребителя, а также ремонтно-эксплуатационное обслуживание сетей наружного освещения.</w:t>
      </w:r>
    </w:p>
    <w:p w:rsidR="00B23B1A" w:rsidRPr="00B23B1A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3B1A">
        <w:rPr>
          <w:rFonts w:ascii="Times New Roman" w:eastAsia="Times New Roman" w:hAnsi="Times New Roman"/>
          <w:bCs/>
          <w:sz w:val="28"/>
          <w:szCs w:val="28"/>
          <w:lang w:eastAsia="ru-RU"/>
        </w:rPr>
        <w:t>В 2021 году актуализирован прейскурант на оказание дополнительных (нетарифных) услуг, в соответствии с которым Компания оказывает полный спектр сервисных услуг, необходимых потребителям в процессе электроснабжения; на сегодняшний день прейскурант включает в себя 416 услуг.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Темы и результаты опросов потребителей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В 2021 году проведено исследование (анкетирование), направленное на изучение качества обслуживания и оказываемых услуг ПАО «Россети Кубань».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Исследование проводилось методом письменных опросов в центрах обслуживания потребителей (в том числе интерактивные опросы), интервью по телефону, личное интервью. При проведении анкетирования потребителей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ПАО «Россети Кубань» собрано 1442 анкеты.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Основной целью проведения анкетирования являлось определение уровня удовлетворенности потребителей: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- услугой передачи электроэнергии;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- услугой технологического присоединения;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- дополнительными услугами;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- качеством организации клиентского обслуживания.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Удовлетворенность качеством предоставляемых услуг ПАО «Россети Кубань» имеет положительную тенденцию.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Удовлетворенность потребителей качеством предоставления услуги по передаче электроэнергии в 2021 году составила 77%. В 2021 году 90% опрошенных остались удовлетворены оперативностью работы сотрудников ПАО «Россети Кубань» при рассмотрении обращений, что на 12% больше чем в 2020 году.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92% опрошенных потребителей удовлетворены сроками подготовки и исполнения договоров об осуществлении технологического присоединения.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В 2021 году 89% опрошенных потребителей отметили удовлетворенность качеством предоставляемых услуг по дополнительным сервисам.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С целью определения уровня качества организации обслуживания клиентам задавались вопросы, направленные на выявление восприятия уровня компетенции сотрудников, качества обслуживания и места расположения ЦОП. В целом, 95% опрошенных удовлетворены качеством организации обслуживания потребителей в ПАО «Россети Кубань».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результатам исследования выявлено, что наибольшее недовольство потребителей вызывает ненадлежащее качество электроэнергии и нарушение установленных сроков процедуры технологического присоединения. В целях повышения качественного и надежного энергоснабжения потребителей услуг ПАО «Россети Кубань» включает реконструкцию объектов электросетевого хозяйства в ремонтную и инвестиционную программы.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2434A" w:rsidRPr="00D2434A" w:rsidRDefault="00D2434A" w:rsidP="00D2434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434A">
        <w:rPr>
          <w:rFonts w:ascii="Times New Roman" w:eastAsia="Times New Roman" w:hAnsi="Times New Roman"/>
          <w:bCs/>
          <w:sz w:val="28"/>
          <w:szCs w:val="28"/>
          <w:lang w:eastAsia="ru-RU"/>
        </w:rPr>
        <w:t>Наиболее предпочтительными каналами взаимодействия с Компанией в 2021 году стали очное обслуживание, интерактивные и заочные сервисы, их отметили 92% опрошенных. В целях повышения удовлетворенности потребителей услуг ПАО «Россети Кубань» продолжает реализовывать мероприятия по развитию сервисов заочного обслуживания в сети интернет.</w:t>
      </w:r>
    </w:p>
    <w:p w:rsidR="00AF1BF3" w:rsidRDefault="00AF1BF3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Мероприятия, выполняемые сетевой организацией в целях повышения качества обслуживания потребителей</w:t>
      </w:r>
      <w:r w:rsidR="00C6119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6D2D5D" w:rsidRDefault="006D2D5D" w:rsidP="006D2D5D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" w:name="_Toc292405947"/>
      <w:bookmarkStart w:id="5" w:name="_Toc292450850"/>
      <w:bookmarkStart w:id="6" w:name="_Toc292463777"/>
      <w:bookmarkEnd w:id="4"/>
      <w:bookmarkEnd w:id="5"/>
      <w:bookmarkEnd w:id="6"/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Среди основных результатов работы Общества в направлении взаимодействия с клиентами за 2021 год: </w:t>
      </w:r>
    </w:p>
    <w:p w:rsidR="006D2D5D" w:rsidRPr="00223751" w:rsidRDefault="006D2D5D" w:rsidP="006D2D5D">
      <w:pPr>
        <w:pStyle w:val="a7"/>
        <w:numPr>
          <w:ilvl w:val="0"/>
          <w:numId w:val="14"/>
        </w:numPr>
        <w:tabs>
          <w:tab w:val="left" w:pos="72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751">
        <w:rPr>
          <w:rFonts w:ascii="Times New Roman" w:hAnsi="Times New Roman"/>
          <w:sz w:val="28"/>
          <w:szCs w:val="28"/>
        </w:rPr>
        <w:t xml:space="preserve">В 2021 году менеджментом ПАО «Россети Кубань» принято участие в заседании круглого стола Регионального отделения Общероссийского общественного движения «Народный фронт «За Родину» в Краснодарском крае по вопросу электроэнергетики, в рамках тематической площадки по </w:t>
      </w:r>
      <w:r w:rsidRPr="00223751">
        <w:rPr>
          <w:rFonts w:ascii="Times New Roman" w:hAnsi="Times New Roman"/>
          <w:sz w:val="28"/>
          <w:szCs w:val="28"/>
        </w:rPr>
        <w:lastRenderedPageBreak/>
        <w:t>направлению «Малое и среднее предпринимательство и поддержка индивидуальной предпринимательской инициативы.»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751">
        <w:rPr>
          <w:rFonts w:ascii="Times New Roman" w:hAnsi="Times New Roman"/>
          <w:sz w:val="28"/>
          <w:szCs w:val="28"/>
        </w:rPr>
        <w:t>В рамках круглого стола велось обсуждение вопросов, связанных с перспективами развития электросетевого комплекса Краснодарского края, о законодательстве по экспертизе промышленной и энергетической безопасности, о механизмах работы технологического присоединения к электрическим сетям на примере ПАО «Россети Кубань» и другое.</w:t>
      </w:r>
    </w:p>
    <w:p w:rsidR="006D2D5D" w:rsidRPr="00223751" w:rsidRDefault="006D2D5D" w:rsidP="006D2D5D">
      <w:pPr>
        <w:pStyle w:val="a7"/>
        <w:numPr>
          <w:ilvl w:val="0"/>
          <w:numId w:val="14"/>
        </w:numPr>
        <w:tabs>
          <w:tab w:val="left" w:pos="72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751">
        <w:rPr>
          <w:rFonts w:ascii="Times New Roman" w:hAnsi="Times New Roman"/>
          <w:sz w:val="28"/>
          <w:szCs w:val="28"/>
        </w:rPr>
        <w:t>Кроме того, в 2021 году менеджментом ПАО «Россети Кубань» принято участие в IV Всероссийском практическом форуме «Эффективная работа и управление предприятиями электроэнергетики России».</w:t>
      </w:r>
    </w:p>
    <w:p w:rsidR="006D2D5D" w:rsidRPr="00223751" w:rsidRDefault="006D2D5D" w:rsidP="006D2D5D">
      <w:pPr>
        <w:pStyle w:val="a7"/>
        <w:numPr>
          <w:ilvl w:val="0"/>
          <w:numId w:val="14"/>
        </w:numPr>
        <w:tabs>
          <w:tab w:val="left" w:pos="72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751">
        <w:rPr>
          <w:rFonts w:ascii="Times New Roman" w:hAnsi="Times New Roman"/>
          <w:sz w:val="28"/>
          <w:szCs w:val="28"/>
        </w:rPr>
        <w:t>Также, по итогам 2021 года в ПАО «Россети Кубань» было проведено 36 семинаров-совещаний в дистанционном формате с участием потенциальных и действующих заявителей, представителей бизнеса и органов исполнительной власти субъектов Российской Федерации по вопросам повышения доступности энергетической инфраструктуры, в том числе о возможности подачи заявок на технологическое присоединение в электронном виде.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751">
        <w:rPr>
          <w:rFonts w:ascii="Times New Roman" w:hAnsi="Times New Roman"/>
          <w:sz w:val="28"/>
          <w:szCs w:val="28"/>
        </w:rPr>
        <w:t>В семинарах-совещаниях приняли участие 215 человек.</w:t>
      </w:r>
    </w:p>
    <w:p w:rsidR="006D2D5D" w:rsidRPr="006D2D5D" w:rsidRDefault="006D2D5D" w:rsidP="006D2D5D">
      <w:pPr>
        <w:numPr>
          <w:ilvl w:val="0"/>
          <w:numId w:val="14"/>
        </w:numPr>
        <w:ind w:left="0" w:firstLine="414"/>
        <w:contextualSpacing/>
        <w:jc w:val="both"/>
        <w:rPr>
          <w:rFonts w:ascii="Times New Roman" w:hAnsi="Times New Roman"/>
          <w:sz w:val="28"/>
          <w:szCs w:val="28"/>
        </w:rPr>
      </w:pPr>
      <w:r w:rsidRPr="006D2D5D">
        <w:rPr>
          <w:rFonts w:ascii="Times New Roman" w:hAnsi="Times New Roman"/>
          <w:sz w:val="28"/>
          <w:szCs w:val="28"/>
        </w:rPr>
        <w:t>по результатам 110 проверок, проведенных на основании сообщений потребителей услуг о фактах хищения электроэнергии, поступивших на Call-центр выявлено неучтенной электроэнергии на сумму 1 379 084 руб.</w:t>
      </w:r>
    </w:p>
    <w:p w:rsidR="00797891" w:rsidRPr="006D2D5D" w:rsidRDefault="003151E4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организации работы по взаимодействию с потребителями услуг в период высокой активности заболеваемости новой коронавирусной инфекцией </w:t>
      </w:r>
      <w:r w:rsidR="00797891" w:rsidRPr="006D2D5D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-19, а также введенного режима повышенной готовности на территории Краснодарского края и республики Адыгея реализованы следующие мероприятия: 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-  ограничена работа офисов обслуживания потребителей услуг,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- обеспечено информирование потребителей через официальные сайт Общества, социальные сети и СМИ о возможности получения у</w:t>
      </w:r>
      <w:r w:rsidR="00D91A6E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слуг в электронной форме через 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«Портал-ТП.рф» для потребителей группы компаний «Россети» без личного посещения офисов обслуживания Общества.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Организовано более доступное электронное взаимодействие с потребителями услуг при осуществлении технологического присоединения посредством личного кабинета на официальном сайте «Портал-Т</w:t>
      </w:r>
      <w:r w:rsidR="001A0794" w:rsidRPr="006D2D5D">
        <w:rPr>
          <w:rFonts w:ascii="Times New Roman" w:eastAsia="Times New Roman" w:hAnsi="Times New Roman"/>
          <w:sz w:val="28"/>
          <w:szCs w:val="28"/>
          <w:lang w:eastAsia="ru-RU"/>
        </w:rPr>
        <w:t>П. рф» и в мобильном приложении.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В офисах очного обслуживания потребителей </w:t>
      </w:r>
      <w:r w:rsidR="00D2434A" w:rsidRPr="006D2D5D">
        <w:rPr>
          <w:rFonts w:ascii="Times New Roman" w:eastAsia="Times New Roman" w:hAnsi="Times New Roman"/>
          <w:sz w:val="28"/>
          <w:szCs w:val="28"/>
          <w:lang w:eastAsia="ru-RU"/>
        </w:rPr>
        <w:t>обеспечены автоматизированные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рабочие места </w:t>
      </w:r>
      <w:r w:rsidR="00D2434A" w:rsidRPr="006D2D5D">
        <w:rPr>
          <w:rFonts w:ascii="Times New Roman" w:eastAsia="Times New Roman" w:hAnsi="Times New Roman"/>
          <w:sz w:val="28"/>
          <w:szCs w:val="28"/>
          <w:lang w:eastAsia="ru-RU"/>
        </w:rPr>
        <w:t>для заявителей,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имеющих доступа к информационно-телекоммуникационной сети «Интернет». Специалистами офисов компании предоставляются консультации по возникающим вопросам </w:t>
      </w:r>
      <w:r w:rsidR="00D2434A" w:rsidRPr="006D2D5D">
        <w:rPr>
          <w:rFonts w:ascii="Times New Roman" w:eastAsia="Times New Roman" w:hAnsi="Times New Roman"/>
          <w:sz w:val="28"/>
          <w:szCs w:val="28"/>
          <w:lang w:eastAsia="ru-RU"/>
        </w:rPr>
        <w:t>при подаче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</w:t>
      </w:r>
      <w:r w:rsidR="00D2434A" w:rsidRPr="006D2D5D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Также обеспечена работа Портала обратной связи с потребителями «Светлая страна» на официальном сайте ПАО «Россети», с помощью которого потребитель может оставить обращения по вопросам: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- систематические отключения электроэнергии,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колебания напряжения/ низкое напряжение,</w:t>
      </w:r>
    </w:p>
    <w:p w:rsidR="00797891" w:rsidRPr="006D2D5D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- дефекты электрооборудования. </w:t>
      </w:r>
    </w:p>
    <w:p w:rsidR="00797891" w:rsidRPr="006D2D5D" w:rsidRDefault="009F4A8F" w:rsidP="002C4157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>о вопросам работы Портала ТП возможно обратиться на многоканальные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номера телефонов горячей линии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8-800-100-15-52 и</w:t>
      </w:r>
      <w:r w:rsid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bookmarkStart w:id="7" w:name="_GoBack"/>
      <w:bookmarkEnd w:id="7"/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>8-800-220-0-220.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Pr="00FB21D6" w:rsidRDefault="00797891" w:rsidP="0079789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B21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Для развития клиентоориентированного подхода и повышения качества предоставляемых услуг ПАО «Россети Кубань» в 2021 году запланировано: </w:t>
      </w:r>
    </w:p>
    <w:p w:rsidR="00797891" w:rsidRPr="00FB21D6" w:rsidRDefault="003151E4" w:rsidP="003151E4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97891" w:rsidRPr="00FB21D6">
        <w:rPr>
          <w:rFonts w:ascii="Times New Roman" w:eastAsia="Times New Roman" w:hAnsi="Times New Roman"/>
          <w:sz w:val="28"/>
          <w:szCs w:val="28"/>
          <w:lang w:eastAsia="ru-RU"/>
        </w:rPr>
        <w:t>развитие и укрупнение структуры канала заочного обслуживания – Call-центр,</w:t>
      </w:r>
    </w:p>
    <w:p w:rsidR="00C53DDB" w:rsidRDefault="003151E4" w:rsidP="003151E4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97891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эффективности клиентского </w:t>
      </w:r>
      <w:r w:rsidR="00D2434A" w:rsidRPr="00FB21D6">
        <w:rPr>
          <w:rFonts w:ascii="Times New Roman" w:eastAsia="Times New Roman" w:hAnsi="Times New Roman"/>
          <w:sz w:val="28"/>
          <w:szCs w:val="28"/>
          <w:lang w:eastAsia="ru-RU"/>
        </w:rPr>
        <w:t>обслуживания с целью увеличения</w:t>
      </w:r>
      <w:r w:rsidR="00C53DDB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7891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количества </w:t>
      </w:r>
      <w:r w:rsidR="00C53DDB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2434A" w:rsidRPr="00FB21D6">
        <w:rPr>
          <w:rFonts w:ascii="Times New Roman" w:eastAsia="Times New Roman" w:hAnsi="Times New Roman"/>
          <w:sz w:val="28"/>
          <w:szCs w:val="28"/>
          <w:lang w:eastAsia="ru-RU"/>
        </w:rPr>
        <w:t>потребителей</w:t>
      </w:r>
      <w:r w:rsidR="00C53DDB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7891" w:rsidRPr="00FB21D6">
        <w:rPr>
          <w:rFonts w:ascii="Times New Roman" w:eastAsia="Times New Roman" w:hAnsi="Times New Roman"/>
          <w:sz w:val="28"/>
          <w:szCs w:val="28"/>
          <w:lang w:eastAsia="ru-RU"/>
        </w:rPr>
        <w:t>доп</w:t>
      </w:r>
      <w:r w:rsidR="00D2434A" w:rsidRPr="00FB21D6">
        <w:rPr>
          <w:rFonts w:ascii="Times New Roman" w:eastAsia="Times New Roman" w:hAnsi="Times New Roman"/>
          <w:sz w:val="28"/>
          <w:szCs w:val="28"/>
          <w:lang w:eastAsia="ru-RU"/>
        </w:rPr>
        <w:t>олнительных</w:t>
      </w:r>
      <w:r w:rsidR="00C53DDB"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21D6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 </w:t>
      </w:r>
      <w:r w:rsidR="00C53DDB" w:rsidRPr="00FB21D6">
        <w:rPr>
          <w:rFonts w:ascii="Times New Roman" w:eastAsia="Times New Roman" w:hAnsi="Times New Roman"/>
          <w:sz w:val="28"/>
          <w:szCs w:val="28"/>
          <w:lang w:eastAsia="ru-RU"/>
        </w:rPr>
        <w:t>на площадках офисов обслуживания.</w:t>
      </w:r>
    </w:p>
    <w:p w:rsidR="00D2434A" w:rsidRDefault="00D2434A" w:rsidP="003151E4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A7" w:rsidRPr="00AD19A9" w:rsidRDefault="003163A7" w:rsidP="00B367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sectPr w:rsidR="003163A7" w:rsidRPr="00AD19A9" w:rsidSect="00D52D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9DE" w:rsidRDefault="004719DE" w:rsidP="000C7120">
      <w:r>
        <w:separator/>
      </w:r>
    </w:p>
  </w:endnote>
  <w:endnote w:type="continuationSeparator" w:id="0">
    <w:p w:rsidR="004719DE" w:rsidRDefault="004719DE" w:rsidP="000C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9DE" w:rsidRDefault="004719DE" w:rsidP="000C7120">
      <w:r>
        <w:separator/>
      </w:r>
    </w:p>
  </w:footnote>
  <w:footnote w:type="continuationSeparator" w:id="0">
    <w:p w:rsidR="004719DE" w:rsidRDefault="004719DE" w:rsidP="000C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3A8"/>
    <w:multiLevelType w:val="hybridMultilevel"/>
    <w:tmpl w:val="53E4B05E"/>
    <w:lvl w:ilvl="0" w:tplc="06DC67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C7841"/>
    <w:multiLevelType w:val="hybridMultilevel"/>
    <w:tmpl w:val="3CE23B9A"/>
    <w:lvl w:ilvl="0" w:tplc="57E6AD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147236"/>
    <w:multiLevelType w:val="hybridMultilevel"/>
    <w:tmpl w:val="A5E6FB0A"/>
    <w:lvl w:ilvl="0" w:tplc="06DC672A">
      <w:start w:val="1"/>
      <w:numFmt w:val="bullet"/>
      <w:lvlText w:val=""/>
      <w:lvlJc w:val="left"/>
      <w:pPr>
        <w:tabs>
          <w:tab w:val="num" w:pos="1064"/>
        </w:tabs>
        <w:ind w:left="10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9"/>
        </w:tabs>
        <w:ind w:left="1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9"/>
        </w:tabs>
        <w:ind w:left="3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9"/>
        </w:tabs>
        <w:ind w:left="3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9"/>
        </w:tabs>
        <w:ind w:left="4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9"/>
        </w:tabs>
        <w:ind w:left="5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9"/>
        </w:tabs>
        <w:ind w:left="6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9"/>
        </w:tabs>
        <w:ind w:left="6749" w:hanging="360"/>
      </w:pPr>
      <w:rPr>
        <w:rFonts w:ascii="Wingdings" w:hAnsi="Wingdings" w:hint="default"/>
      </w:rPr>
    </w:lvl>
  </w:abstractNum>
  <w:abstractNum w:abstractNumId="3" w15:restartNumberingAfterBreak="0">
    <w:nsid w:val="29A145D0"/>
    <w:multiLevelType w:val="hybridMultilevel"/>
    <w:tmpl w:val="001EC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AF1D16"/>
    <w:multiLevelType w:val="hybridMultilevel"/>
    <w:tmpl w:val="137A8B3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D55885"/>
    <w:multiLevelType w:val="multilevel"/>
    <w:tmpl w:val="A8BA6C26"/>
    <w:lvl w:ilvl="0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6" w15:restartNumberingAfterBreak="0">
    <w:nsid w:val="310556D0"/>
    <w:multiLevelType w:val="multilevel"/>
    <w:tmpl w:val="FE54720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7" w15:restartNumberingAfterBreak="0">
    <w:nsid w:val="318333D4"/>
    <w:multiLevelType w:val="hybridMultilevel"/>
    <w:tmpl w:val="35F2E38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E46123"/>
    <w:multiLevelType w:val="hybridMultilevel"/>
    <w:tmpl w:val="7F929CFA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820B49"/>
    <w:multiLevelType w:val="hybridMultilevel"/>
    <w:tmpl w:val="418853A4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48A78C1"/>
    <w:multiLevelType w:val="hybridMultilevel"/>
    <w:tmpl w:val="99D85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C9E5080"/>
    <w:multiLevelType w:val="hybridMultilevel"/>
    <w:tmpl w:val="091E416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D60F66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3D1B20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F7592"/>
    <w:multiLevelType w:val="hybridMultilevel"/>
    <w:tmpl w:val="6C6AA734"/>
    <w:lvl w:ilvl="0" w:tplc="32B6D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8"/>
  </w:num>
  <w:num w:numId="5">
    <w:abstractNumId w:val="12"/>
  </w:num>
  <w:num w:numId="6">
    <w:abstractNumId w:val="5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1"/>
  </w:num>
  <w:num w:numId="12">
    <w:abstractNumId w:val="10"/>
  </w:num>
  <w:num w:numId="13">
    <w:abstractNumId w:val="13"/>
  </w:num>
  <w:num w:numId="14">
    <w:abstractNumId w:val="3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DB"/>
    <w:rsid w:val="00002B44"/>
    <w:rsid w:val="00011D53"/>
    <w:rsid w:val="0004057D"/>
    <w:rsid w:val="000412D0"/>
    <w:rsid w:val="00054E64"/>
    <w:rsid w:val="000565E0"/>
    <w:rsid w:val="00075451"/>
    <w:rsid w:val="00086973"/>
    <w:rsid w:val="00095556"/>
    <w:rsid w:val="000C493E"/>
    <w:rsid w:val="000C7120"/>
    <w:rsid w:val="000F2843"/>
    <w:rsid w:val="00144904"/>
    <w:rsid w:val="001572F3"/>
    <w:rsid w:val="00166E5A"/>
    <w:rsid w:val="00194AB4"/>
    <w:rsid w:val="001A0794"/>
    <w:rsid w:val="001F270B"/>
    <w:rsid w:val="001F6E6C"/>
    <w:rsid w:val="00211DA9"/>
    <w:rsid w:val="00212CDB"/>
    <w:rsid w:val="002561F2"/>
    <w:rsid w:val="00277616"/>
    <w:rsid w:val="002C4157"/>
    <w:rsid w:val="002C54DE"/>
    <w:rsid w:val="002D4A07"/>
    <w:rsid w:val="002D79DB"/>
    <w:rsid w:val="002D7E68"/>
    <w:rsid w:val="00306099"/>
    <w:rsid w:val="003151E4"/>
    <w:rsid w:val="003163A7"/>
    <w:rsid w:val="00331E0B"/>
    <w:rsid w:val="00347B98"/>
    <w:rsid w:val="003538BB"/>
    <w:rsid w:val="00365687"/>
    <w:rsid w:val="00392B16"/>
    <w:rsid w:val="003B13DF"/>
    <w:rsid w:val="003D77F6"/>
    <w:rsid w:val="003F7A9F"/>
    <w:rsid w:val="004060F6"/>
    <w:rsid w:val="00410134"/>
    <w:rsid w:val="00445CEF"/>
    <w:rsid w:val="004466AA"/>
    <w:rsid w:val="004719DE"/>
    <w:rsid w:val="00483BFB"/>
    <w:rsid w:val="004C55C6"/>
    <w:rsid w:val="004C7DE0"/>
    <w:rsid w:val="004E6082"/>
    <w:rsid w:val="00506EBA"/>
    <w:rsid w:val="00515525"/>
    <w:rsid w:val="0058688A"/>
    <w:rsid w:val="00591E98"/>
    <w:rsid w:val="005C215F"/>
    <w:rsid w:val="005E0B65"/>
    <w:rsid w:val="005E7795"/>
    <w:rsid w:val="005F5F83"/>
    <w:rsid w:val="006025C2"/>
    <w:rsid w:val="00681AA6"/>
    <w:rsid w:val="006B4F65"/>
    <w:rsid w:val="006D2D5D"/>
    <w:rsid w:val="0071168A"/>
    <w:rsid w:val="0072661D"/>
    <w:rsid w:val="007501D5"/>
    <w:rsid w:val="0075678D"/>
    <w:rsid w:val="00757CF6"/>
    <w:rsid w:val="00766E37"/>
    <w:rsid w:val="00795592"/>
    <w:rsid w:val="00797891"/>
    <w:rsid w:val="007A59D5"/>
    <w:rsid w:val="007A6209"/>
    <w:rsid w:val="007E43F8"/>
    <w:rsid w:val="00806C0E"/>
    <w:rsid w:val="0086048A"/>
    <w:rsid w:val="00867D2B"/>
    <w:rsid w:val="00904526"/>
    <w:rsid w:val="00927654"/>
    <w:rsid w:val="00930D30"/>
    <w:rsid w:val="00933E25"/>
    <w:rsid w:val="00964DD5"/>
    <w:rsid w:val="009F4A8F"/>
    <w:rsid w:val="00A0021A"/>
    <w:rsid w:val="00A06D12"/>
    <w:rsid w:val="00A556CC"/>
    <w:rsid w:val="00A85E0E"/>
    <w:rsid w:val="00A91C75"/>
    <w:rsid w:val="00AD19A9"/>
    <w:rsid w:val="00AF06D3"/>
    <w:rsid w:val="00AF1BF3"/>
    <w:rsid w:val="00AF59C7"/>
    <w:rsid w:val="00B23B1A"/>
    <w:rsid w:val="00B3679D"/>
    <w:rsid w:val="00B859D0"/>
    <w:rsid w:val="00BF4118"/>
    <w:rsid w:val="00C160DF"/>
    <w:rsid w:val="00C40A48"/>
    <w:rsid w:val="00C508BF"/>
    <w:rsid w:val="00C529C8"/>
    <w:rsid w:val="00C53DDB"/>
    <w:rsid w:val="00C6119B"/>
    <w:rsid w:val="00C62A8F"/>
    <w:rsid w:val="00C97BC7"/>
    <w:rsid w:val="00CE7055"/>
    <w:rsid w:val="00D04087"/>
    <w:rsid w:val="00D15DA3"/>
    <w:rsid w:val="00D179AB"/>
    <w:rsid w:val="00D2434A"/>
    <w:rsid w:val="00D400BF"/>
    <w:rsid w:val="00D408A8"/>
    <w:rsid w:val="00D52D8D"/>
    <w:rsid w:val="00D91A6E"/>
    <w:rsid w:val="00DB498E"/>
    <w:rsid w:val="00DB76E1"/>
    <w:rsid w:val="00DD5FBD"/>
    <w:rsid w:val="00E222C4"/>
    <w:rsid w:val="00E23879"/>
    <w:rsid w:val="00E303B3"/>
    <w:rsid w:val="00E37D3A"/>
    <w:rsid w:val="00E54C83"/>
    <w:rsid w:val="00E650F1"/>
    <w:rsid w:val="00E9623D"/>
    <w:rsid w:val="00EA0EE3"/>
    <w:rsid w:val="00ED7D98"/>
    <w:rsid w:val="00EE28CB"/>
    <w:rsid w:val="00F36DE3"/>
    <w:rsid w:val="00F44FC9"/>
    <w:rsid w:val="00FA41FA"/>
    <w:rsid w:val="00FB21D6"/>
    <w:rsid w:val="00FB707E"/>
    <w:rsid w:val="00FC7045"/>
    <w:rsid w:val="00FE0320"/>
    <w:rsid w:val="00FE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9379"/>
  <w15:docId w15:val="{9F626411-94E0-4657-880B-7A55523D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A8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41F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7A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9F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AC List 01,List Paragraph,ПАРАГРАФ,Абзац списка2,Маркер,Ненумерованный список,3_Абзац списка,Нумерованный спиков,Title,Нум 2 ур,SL_Абзац списка,Bullet List,FooterText,numbered,СпБезКС,Название таблицы,Списки,head 5,Буллет"/>
    <w:basedOn w:val="a"/>
    <w:link w:val="a8"/>
    <w:uiPriority w:val="34"/>
    <w:qFormat/>
    <w:rsid w:val="005868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C71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7120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71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7120"/>
    <w:rPr>
      <w:rFonts w:ascii="Calibri" w:hAnsi="Calibri" w:cs="Times New Roman"/>
    </w:rPr>
  </w:style>
  <w:style w:type="character" w:styleId="ad">
    <w:name w:val="Hyperlink"/>
    <w:basedOn w:val="a0"/>
    <w:uiPriority w:val="99"/>
    <w:unhideWhenUsed/>
    <w:rsid w:val="00277616"/>
    <w:rPr>
      <w:color w:val="0563C1" w:themeColor="hyperlink"/>
      <w:u w:val="single"/>
    </w:rPr>
  </w:style>
  <w:style w:type="character" w:customStyle="1" w:styleId="a8">
    <w:name w:val="Абзац списка Знак"/>
    <w:aliases w:val="Нумерованый список Знак,AC List 01 Знак,List Paragraph Знак,ПАРАГРАФ Знак,Абзац списка2 Знак,Маркер Знак,Ненумерованный список Знак,3_Абзац списка Знак,Нумерованный спиков Знак,Title Знак,Нум 2 ур Знак,SL_Абзац списка Знак,СпБезКС Знак"/>
    <w:link w:val="a7"/>
    <w:uiPriority w:val="34"/>
    <w:locked/>
    <w:rsid w:val="006D2D5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&#1087;&#1086;&#1088;&#1090;&#1072;&#1083;-&#1090;&#1087;.&#1088;&#1092;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Коробка Татьяна Сергеевна</dc:creator>
  <cp:lastModifiedBy>Цуканов-Лубяницкий Григорий Владимирович</cp:lastModifiedBy>
  <cp:revision>4</cp:revision>
  <cp:lastPrinted>2022-03-31T06:20:00Z</cp:lastPrinted>
  <dcterms:created xsi:type="dcterms:W3CDTF">2022-03-30T07:33:00Z</dcterms:created>
  <dcterms:modified xsi:type="dcterms:W3CDTF">2022-03-31T06:31:00Z</dcterms:modified>
</cp:coreProperties>
</file>