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23" w:rsidRPr="0028224E" w:rsidRDefault="00A56D23" w:rsidP="00A56D23">
      <w:pPr>
        <w:pStyle w:val="10"/>
        <w:spacing w:after="240"/>
        <w:ind w:left="714"/>
        <w:jc w:val="center"/>
      </w:pPr>
      <w:r w:rsidRPr="0028224E">
        <w:rPr>
          <w:rFonts w:ascii="Times New Roman" w:hAnsi="Times New Roman"/>
          <w:sz w:val="28"/>
          <w:szCs w:val="28"/>
          <w:lang w:val="ru-RU"/>
        </w:rPr>
        <w:t>Перечень инсайдерской информации</w:t>
      </w:r>
    </w:p>
    <w:p w:rsidR="00A56D23" w:rsidRPr="0028224E" w:rsidRDefault="00A56D23" w:rsidP="00A56D23">
      <w:pPr>
        <w:spacing w:after="0" w:line="240" w:lineRule="auto"/>
        <w:ind w:firstLine="1134"/>
        <w:jc w:val="both"/>
        <w:rPr>
          <w:rFonts w:ascii="Times New Roman" w:hAnsi="Times New Roman"/>
          <w:sz w:val="24"/>
          <w:szCs w:val="24"/>
        </w:rPr>
      </w:pPr>
      <w:r w:rsidRPr="0028224E">
        <w:rPr>
          <w:rFonts w:ascii="Times New Roman" w:hAnsi="Times New Roman"/>
          <w:bCs/>
          <w:color w:val="000000"/>
          <w:sz w:val="24"/>
          <w:szCs w:val="24"/>
        </w:rPr>
        <w:t xml:space="preserve">К инсайдерской информации </w:t>
      </w:r>
      <w:r w:rsidRPr="0028224E">
        <w:rPr>
          <w:rFonts w:ascii="Times New Roman" w:hAnsi="Times New Roman"/>
          <w:sz w:val="24"/>
          <w:szCs w:val="24"/>
        </w:rPr>
        <w:t>ОАО «</w:t>
      </w:r>
      <w:r>
        <w:rPr>
          <w:rFonts w:ascii="Times New Roman" w:hAnsi="Times New Roman"/>
          <w:sz w:val="24"/>
          <w:szCs w:val="24"/>
        </w:rPr>
        <w:t>Кубаньэнерго</w:t>
      </w:r>
      <w:r w:rsidRPr="0028224E">
        <w:rPr>
          <w:rFonts w:ascii="Times New Roman" w:hAnsi="Times New Roman"/>
          <w:sz w:val="24"/>
          <w:szCs w:val="24"/>
        </w:rPr>
        <w:t>» (далее – Общество) относится следующая информация:</w:t>
      </w:r>
    </w:p>
    <w:p w:rsidR="00A56D23" w:rsidRPr="0028224E" w:rsidRDefault="00A56D23" w:rsidP="00A56D23">
      <w:pPr>
        <w:spacing w:after="0" w:line="240" w:lineRule="auto"/>
        <w:ind w:firstLine="1134"/>
        <w:jc w:val="both"/>
        <w:rPr>
          <w:rFonts w:ascii="Times New Roman" w:hAnsi="Times New Roman"/>
          <w:bCs/>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8979"/>
      </w:tblGrid>
      <w:tr w:rsidR="00A56D23" w:rsidRPr="0028224E" w:rsidTr="00866B00">
        <w:tc>
          <w:tcPr>
            <w:tcW w:w="768" w:type="dxa"/>
          </w:tcPr>
          <w:p w:rsidR="00A56D23" w:rsidRPr="0028224E" w:rsidRDefault="00A56D23" w:rsidP="00866B00">
            <w:pPr>
              <w:spacing w:after="0" w:line="240" w:lineRule="auto"/>
              <w:jc w:val="center"/>
              <w:rPr>
                <w:rFonts w:ascii="Times New Roman" w:hAnsi="Times New Roman"/>
                <w:bCs/>
                <w:color w:val="000000"/>
                <w:sz w:val="24"/>
                <w:szCs w:val="24"/>
              </w:rPr>
            </w:pPr>
          </w:p>
          <w:p w:rsidR="00A56D23" w:rsidRPr="0028224E" w:rsidRDefault="00A56D23" w:rsidP="00866B00">
            <w:pPr>
              <w:spacing w:after="0" w:line="240" w:lineRule="auto"/>
              <w:jc w:val="center"/>
              <w:rPr>
                <w:rFonts w:ascii="Times New Roman" w:hAnsi="Times New Roman"/>
                <w:bCs/>
                <w:color w:val="000000"/>
                <w:sz w:val="24"/>
                <w:szCs w:val="24"/>
              </w:rPr>
            </w:pPr>
            <w:r w:rsidRPr="0028224E">
              <w:rPr>
                <w:rFonts w:ascii="Times New Roman" w:hAnsi="Times New Roman"/>
                <w:bCs/>
                <w:color w:val="000000"/>
                <w:sz w:val="24"/>
                <w:szCs w:val="24"/>
              </w:rPr>
              <w:t xml:space="preserve">№ </w:t>
            </w:r>
            <w:proofErr w:type="gramStart"/>
            <w:r w:rsidRPr="0028224E">
              <w:rPr>
                <w:rFonts w:ascii="Times New Roman" w:hAnsi="Times New Roman"/>
                <w:bCs/>
                <w:color w:val="000000"/>
                <w:sz w:val="24"/>
                <w:szCs w:val="24"/>
              </w:rPr>
              <w:t>п</w:t>
            </w:r>
            <w:proofErr w:type="gramEnd"/>
            <w:r w:rsidRPr="0028224E">
              <w:rPr>
                <w:rFonts w:ascii="Times New Roman" w:hAnsi="Times New Roman"/>
                <w:bCs/>
                <w:color w:val="000000"/>
                <w:sz w:val="24"/>
                <w:szCs w:val="24"/>
              </w:rPr>
              <w:t>/п</w:t>
            </w:r>
          </w:p>
        </w:tc>
        <w:tc>
          <w:tcPr>
            <w:tcW w:w="8979" w:type="dxa"/>
          </w:tcPr>
          <w:p w:rsidR="00A56D23" w:rsidRPr="0028224E" w:rsidRDefault="00A56D23" w:rsidP="00866B00">
            <w:pPr>
              <w:spacing w:after="0" w:line="240" w:lineRule="auto"/>
              <w:jc w:val="center"/>
              <w:rPr>
                <w:rFonts w:ascii="Times New Roman" w:hAnsi="Times New Roman"/>
                <w:bCs/>
                <w:color w:val="000000"/>
                <w:sz w:val="24"/>
                <w:szCs w:val="24"/>
              </w:rPr>
            </w:pPr>
          </w:p>
          <w:p w:rsidR="00A56D23" w:rsidRPr="0028224E" w:rsidRDefault="00A56D23" w:rsidP="00866B00">
            <w:pPr>
              <w:spacing w:after="0" w:line="240" w:lineRule="auto"/>
              <w:jc w:val="center"/>
              <w:rPr>
                <w:rFonts w:ascii="Times New Roman" w:hAnsi="Times New Roman"/>
                <w:bCs/>
                <w:color w:val="000000"/>
                <w:sz w:val="24"/>
                <w:szCs w:val="24"/>
              </w:rPr>
            </w:pPr>
            <w:r w:rsidRPr="0028224E">
              <w:rPr>
                <w:rFonts w:ascii="Times New Roman" w:hAnsi="Times New Roman"/>
                <w:bCs/>
                <w:color w:val="000000"/>
                <w:sz w:val="24"/>
                <w:szCs w:val="24"/>
              </w:rPr>
              <w:t>Тип информации</w:t>
            </w:r>
          </w:p>
        </w:tc>
      </w:tr>
      <w:tr w:rsidR="00A56D23" w:rsidRPr="0028224E" w:rsidTr="00866B00">
        <w:tc>
          <w:tcPr>
            <w:tcW w:w="768" w:type="dxa"/>
          </w:tcPr>
          <w:p w:rsidR="00A56D23" w:rsidRPr="008016DE" w:rsidRDefault="008016DE" w:rsidP="008016DE">
            <w:pPr>
              <w:tabs>
                <w:tab w:val="left" w:pos="142"/>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созыве и проведении общего собрания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повестке дня заседания Совета директоров Общества, а также о принятых им решениях;</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фактах непринятия Советом директоров Общества следующих решений, которые должны быть приняты в соответствии с федеральными законами:</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созыве годового (очередного) общего собрания акционеров Общества, а также об иных решениях, связанных с подготовкой, созывом и проведением годового (очередного) общего собрания акционеров Общества;</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 xml:space="preserve">о созыве (проведении) или об отказе в созыве (проведении) внеочередного общего собрания акционеров </w:t>
            </w:r>
            <w:r w:rsidRPr="0028224E">
              <w:rPr>
                <w:rFonts w:ascii="Times New Roman" w:hAnsi="Times New Roman"/>
                <w:sz w:val="24"/>
                <w:szCs w:val="24"/>
              </w:rPr>
              <w:t>Общества по требованию ревизионной комиссии Общества</w:t>
            </w:r>
            <w:r w:rsidRPr="0028224E">
              <w:rPr>
                <w:rFonts w:ascii="Times New Roman" w:hAnsi="Times New Roman"/>
                <w:color w:val="000000"/>
                <w:sz w:val="24"/>
                <w:szCs w:val="24"/>
              </w:rPr>
              <w:t>, аудитора Общества или акционеров (акционера), являющихся владельцами не менее чем 10 процентов голосующих акций Общества;</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включении или об отказе во включении внесенных вопросов в повестку дня общего собрания акционеров Общества, а выдвинутых кандидатов – в список кандидатур для голосования по выборам в соответствующий орган Общества, которые предложены акционерами (акционером), являющимися в совокупности владельцами не менее чем 2 процентов голосующих акций Общества;</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 xml:space="preserve">об образовании единоличного исполнительного органа Общества на двух проведенных подряд заседаниях Совета директоров Общества либо в течение двух месяцев </w:t>
            </w:r>
            <w:proofErr w:type="gramStart"/>
            <w:r w:rsidRPr="0028224E">
              <w:rPr>
                <w:rFonts w:ascii="Times New Roman" w:hAnsi="Times New Roman"/>
                <w:color w:val="000000"/>
                <w:sz w:val="24"/>
                <w:szCs w:val="24"/>
              </w:rPr>
              <w:t>с даты прекращения</w:t>
            </w:r>
            <w:proofErr w:type="gramEnd"/>
            <w:r w:rsidRPr="0028224E">
              <w:rPr>
                <w:rFonts w:ascii="Times New Roman" w:hAnsi="Times New Roman"/>
                <w:color w:val="000000"/>
                <w:sz w:val="24"/>
                <w:szCs w:val="24"/>
              </w:rPr>
              <w:t xml:space="preserve"> или истечения срока действия полномочий ранее образованного единоличного исполнительного органа такого эмитента в случае, предусмотренном пунктом 6 статьи 69 Федерального закона от 26.12.1995 № 208-ФЗ «Об акционерных обществах»;</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досрочном прекращении полномочий единоличного исполнительного органа Общества, на двух проведенных подряд заседаниях Совета директоров Общества в случае, предусмотренном пунктом 7 статьи 69 Федерального закона «Об акционерных обществах»;</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созыве (проведении) внеочередного общего собрания акционеров Общества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sz w:val="24"/>
                <w:szCs w:val="24"/>
              </w:rPr>
            </w:pPr>
            <w:proofErr w:type="gramStart"/>
            <w:r w:rsidRPr="0028224E">
              <w:rPr>
                <w:rFonts w:ascii="Times New Roman" w:hAnsi="Times New Roman"/>
                <w:sz w:val="24"/>
                <w:szCs w:val="24"/>
              </w:rPr>
              <w:t>об образовании временного единоличного исполнительного органа Общества и о проведении внеочередного общего собрания акционеров Общества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такого Общества принимается решение о</w:t>
            </w:r>
            <w:proofErr w:type="gramEnd"/>
            <w:r w:rsidRPr="0028224E">
              <w:rPr>
                <w:rFonts w:ascii="Times New Roman" w:hAnsi="Times New Roman"/>
                <w:sz w:val="24"/>
                <w:szCs w:val="24"/>
              </w:rPr>
              <w:t xml:space="preserve"> </w:t>
            </w:r>
            <w:proofErr w:type="gramStart"/>
            <w:r w:rsidRPr="0028224E">
              <w:rPr>
                <w:rFonts w:ascii="Times New Roman" w:hAnsi="Times New Roman"/>
                <w:sz w:val="24"/>
                <w:szCs w:val="24"/>
              </w:rPr>
              <w:t>приостановлении</w:t>
            </w:r>
            <w:proofErr w:type="gramEnd"/>
            <w:r w:rsidRPr="0028224E">
              <w:rPr>
                <w:rFonts w:ascii="Times New Roman" w:hAnsi="Times New Roman"/>
                <w:sz w:val="24"/>
                <w:szCs w:val="24"/>
              </w:rPr>
              <w:t xml:space="preserve"> полномочий его единоличного исполнительного органа или полномочий управляющей организации (управляющего);</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autoSpaceDE w:val="0"/>
              <w:autoSpaceDN w:val="0"/>
              <w:adjustRightInd w:val="0"/>
              <w:spacing w:after="0" w:line="240" w:lineRule="auto"/>
              <w:jc w:val="both"/>
              <w:outlineLvl w:val="0"/>
              <w:rPr>
                <w:rFonts w:ascii="Times New Roman" w:hAnsi="Times New Roman"/>
                <w:sz w:val="24"/>
                <w:szCs w:val="24"/>
              </w:rPr>
            </w:pPr>
            <w:proofErr w:type="gramStart"/>
            <w:r w:rsidRPr="0065045F">
              <w:rPr>
                <w:rFonts w:ascii="Times New Roman" w:hAnsi="Times New Roman"/>
                <w:sz w:val="24"/>
                <w:szCs w:val="24"/>
              </w:rPr>
              <w:t xml:space="preserve">о рекомендациях в отношении полученного Обществом добровольного, в том числе </w:t>
            </w:r>
            <w:r w:rsidRPr="0065045F">
              <w:rPr>
                <w:rFonts w:ascii="Times New Roman" w:hAnsi="Times New Roman"/>
                <w:sz w:val="24"/>
                <w:szCs w:val="24"/>
              </w:rPr>
              <w:lastRenderedPageBreak/>
              <w:t>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r w:rsidRPr="009C2A38">
              <w:rPr>
                <w:rFonts w:ascii="Times New Roman" w:hAnsi="Times New Roman"/>
                <w:sz w:val="24"/>
                <w:szCs w:val="24"/>
              </w:rPr>
              <w:t>;</w:t>
            </w:r>
            <w:proofErr w:type="gramEnd"/>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направлении Обществом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появлен</w:t>
            </w:r>
            <w:proofErr w:type="gramStart"/>
            <w:r w:rsidRPr="0028224E">
              <w:rPr>
                <w:rFonts w:ascii="Times New Roman" w:hAnsi="Times New Roman"/>
                <w:color w:val="000000"/>
                <w:sz w:val="24"/>
                <w:szCs w:val="24"/>
              </w:rPr>
              <w:t>ии у О</w:t>
            </w:r>
            <w:proofErr w:type="gramEnd"/>
            <w:r w:rsidRPr="0028224E">
              <w:rPr>
                <w:rFonts w:ascii="Times New Roman" w:hAnsi="Times New Roman"/>
                <w:color w:val="000000"/>
                <w:sz w:val="24"/>
                <w:szCs w:val="24"/>
              </w:rPr>
              <w:t>бщества подконтрольной ему организации, имеющей для него существенное значение, а также о прекращении оснований контроля над такой организацией;</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появлении лица, контролирующего Общество, а также о прекращении оснований такого контроля;</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принятии решения о реорганизации или ликвидации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появлен</w:t>
            </w:r>
            <w:proofErr w:type="gramStart"/>
            <w:r w:rsidRPr="0028224E">
              <w:rPr>
                <w:rFonts w:ascii="Times New Roman" w:hAnsi="Times New Roman"/>
                <w:color w:val="000000"/>
                <w:sz w:val="24"/>
                <w:szCs w:val="24"/>
              </w:rPr>
              <w:t>ии у О</w:t>
            </w:r>
            <w:proofErr w:type="gramEnd"/>
            <w:r w:rsidRPr="0028224E">
              <w:rPr>
                <w:rFonts w:ascii="Times New Roman" w:hAnsi="Times New Roman"/>
                <w:color w:val="000000"/>
                <w:sz w:val="24"/>
                <w:szCs w:val="24"/>
              </w:rPr>
              <w:t>бщества, контролирующего его лица, подконтрольной Обществу организации, имеющей для него существенное значение, либо у лица, предоставившего обеспечение по облигациям Общества, признаков несостоятельности (банкротства), предусмотренных законодательством Российской Федерации о несостоятельности (банкротстве);</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о принятии арбитражным судом заявления о признании Общества, контролирующего его лица, подконтрольной Обществу организации, имеющей для него существенное значение, либо лица, предоставившего обеспечение по облигациям Общества,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roofErr w:type="gramEnd"/>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о предъявлении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w:t>
            </w:r>
            <w:proofErr w:type="gramEnd"/>
            <w:r w:rsidRPr="0028224E">
              <w:rPr>
                <w:rFonts w:ascii="Times New Roman" w:hAnsi="Times New Roman"/>
                <w:color w:val="000000"/>
                <w:sz w:val="24"/>
                <w:szCs w:val="24"/>
              </w:rPr>
              <w:t xml:space="preserve"> которого, по мнению Общества, может существенным образом повлиять на финансово-хозяйственное положение Общества или указанных лиц;</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 xml:space="preserve">о дате, на которую составляется список владельцев именных эмиссионных ценных бумаг </w:t>
            </w:r>
            <w:r w:rsidRPr="0028224E">
              <w:rPr>
                <w:rFonts w:ascii="Times New Roman" w:hAnsi="Times New Roman"/>
                <w:sz w:val="24"/>
                <w:szCs w:val="24"/>
              </w:rPr>
              <w:t>Общества или документарных эмиссионных ценных бумаг Общества на предъявителя с обязательным централизованным хранением</w:t>
            </w:r>
            <w:r w:rsidRPr="0028224E">
              <w:rPr>
                <w:rFonts w:ascii="Times New Roman" w:hAnsi="Times New Roman"/>
                <w:color w:val="000000"/>
                <w:sz w:val="24"/>
                <w:szCs w:val="24"/>
              </w:rPr>
              <w:t xml:space="preserve"> для целей осуществления (реализации) прав, закрепленных такими эмиссионными ценными бумагами;</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принятии уполномоченными органами Общества следующих решений:</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размещении эмиссионных ценных бумаг Общества;</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об утверждении решения о выпуске (дополнительном выпуске) эмиссионных ценных бумаг Общества;</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об утверждении проспекта ценных бумаг Общества;</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дате начала размещения эмиссионных ценных бумаг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завершении размещения эмиссионных ценных бумаг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направлении (подаче) Обществом заявления на государственную регистрацию выпуска (дополнительного выпуска) эмиссионных ценных бумаг, регистрацию проспекта ценных бумаг,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выпуска) эмиссионных ценных бумаг;</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направлении (подаче) Обществом уведомления об итогах выпуска (дополнительного выпуска) эмиссионных ценных бумаг;</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 xml:space="preserve">о решении арбитражного суда о признании выпуска (дополнительного выпуска) эмиссионных ценных бумаг эмитента </w:t>
            </w:r>
            <w:proofErr w:type="gramStart"/>
            <w:r w:rsidRPr="0028224E">
              <w:rPr>
                <w:rFonts w:ascii="Times New Roman" w:hAnsi="Times New Roman"/>
                <w:color w:val="000000"/>
                <w:sz w:val="24"/>
                <w:szCs w:val="24"/>
              </w:rPr>
              <w:t>недействительным</w:t>
            </w:r>
            <w:proofErr w:type="gramEnd"/>
            <w:r w:rsidRPr="0028224E">
              <w:rPr>
                <w:rFonts w:ascii="Times New Roman" w:hAnsi="Times New Roman"/>
                <w:color w:val="000000"/>
                <w:sz w:val="24"/>
                <w:szCs w:val="24"/>
              </w:rPr>
              <w:t>;</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погашении эмиссионных ценных бумаг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начисленных и (или) выплаченных доходах по эмиссионным ценным бумагам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о заключении Обществом договора с российским организатором торговли на рынке ценных бумаг о включении эмиссионных ценных бумаг Общества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Общества в котировальный список российской фондовой биржи;</w:t>
            </w:r>
            <w:proofErr w:type="gramEnd"/>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о заключении Обществом договора 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roofErr w:type="gramEnd"/>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w:t>
            </w:r>
            <w:proofErr w:type="gramEnd"/>
            <w:r w:rsidRPr="0028224E">
              <w:rPr>
                <w:rFonts w:ascii="Times New Roman" w:hAnsi="Times New Roman"/>
                <w:color w:val="000000"/>
                <w:sz w:val="24"/>
                <w:szCs w:val="24"/>
              </w:rPr>
              <w:t xml:space="preserve"> списка;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заключении Обществом договора о поддержании (стабилизации) цен на эмиссионные ценные бумаги Общества (ценные бумаги иностранного эмитента, удостоверяющие права в отношении эмиссионных ценных бумаг Общества), об условиях указанного договора, а также о прекращении такого договора;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подаче Обществом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неисполнении обязательств Общества перед владельцами его эмиссионных ценных бумаг;</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 xml:space="preserve">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w:t>
            </w:r>
            <w:r w:rsidRPr="0028224E">
              <w:rPr>
                <w:rFonts w:ascii="Times New Roman" w:hAnsi="Times New Roman"/>
                <w:color w:val="000000"/>
                <w:sz w:val="24"/>
                <w:szCs w:val="24"/>
              </w:rPr>
              <w:lastRenderedPageBreak/>
              <w:t>удостоверенных акциями Общества, распоряжаться определенным количеством голосов, приходящихся на голосующие акции, составляющие</w:t>
            </w:r>
            <w:proofErr w:type="gramEnd"/>
            <w:r w:rsidRPr="0028224E">
              <w:rPr>
                <w:rFonts w:ascii="Times New Roman" w:hAnsi="Times New Roman"/>
                <w:color w:val="000000"/>
                <w:sz w:val="24"/>
                <w:szCs w:val="24"/>
              </w:rPr>
              <w:t xml:space="preserve">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поступившем Обществу в соответствии с главой XI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поступившем Обществу в соответствии с главой XI</w:t>
            </w:r>
            <w:r w:rsidRPr="002741BE">
              <w:rPr>
                <w:rFonts w:ascii="Times New Roman" w:hAnsi="Times New Roman"/>
                <w:color w:val="000000"/>
                <w:sz w:val="24"/>
                <w:szCs w:val="24"/>
              </w:rPr>
              <w:t>.</w:t>
            </w:r>
            <w:r>
              <w:rPr>
                <w:rFonts w:ascii="Times New Roman" w:hAnsi="Times New Roman"/>
                <w:color w:val="000000"/>
                <w:sz w:val="24"/>
                <w:szCs w:val="24"/>
                <w:lang w:val="en-US"/>
              </w:rPr>
              <w:t>I</w:t>
            </w:r>
            <w:r w:rsidRPr="0028224E">
              <w:rPr>
                <w:rFonts w:ascii="Times New Roman" w:hAnsi="Times New Roman"/>
                <w:color w:val="000000"/>
                <w:sz w:val="24"/>
                <w:szCs w:val="24"/>
              </w:rPr>
              <w:t xml:space="preserve"> Федерального закона «Об акционерных обществах» уведомлении о праве требовать выкупа эмиссионных ценных бумаг Общества или требовании о выкупе эмиссионных ценных бумаг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выявлении ошибок в ранее раскрытой или предоставленной бухгалтерской (финансовой) отчетности Общества, если такие ошибки могут оказать существенное влияние на цену эмиссионных ценных бумаг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совершении Обществом или лицом, предоставившим обеспечение по облигациям Общества, сделки, размер которой составляет 10 или более процентов балансовой стоимости активов Общества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совершении организацией, контролирующей Общество, или подконтрольной Обществу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65045F" w:rsidRDefault="00A56D23" w:rsidP="00866B00">
            <w:pPr>
              <w:autoSpaceDE w:val="0"/>
              <w:autoSpaceDN w:val="0"/>
              <w:adjustRightInd w:val="0"/>
              <w:spacing w:after="0" w:line="240" w:lineRule="auto"/>
              <w:jc w:val="both"/>
              <w:outlineLvl w:val="0"/>
              <w:rPr>
                <w:rFonts w:ascii="Times New Roman" w:hAnsi="Times New Roman"/>
                <w:sz w:val="24"/>
                <w:szCs w:val="24"/>
              </w:rPr>
            </w:pPr>
            <w:r w:rsidRPr="0065045F">
              <w:rPr>
                <w:rFonts w:ascii="Times New Roman" w:hAnsi="Times New Roman"/>
                <w:sz w:val="24"/>
                <w:szCs w:val="24"/>
              </w:rPr>
              <w:t>о совершении Обществом сделки, в совершении которой имеется заинтересованность и необходимость одобрения которой Советом директоров Общества предусмотрена законодательством Российской Федерации, если размер такой сделки составляет:</w:t>
            </w:r>
          </w:p>
          <w:p w:rsidR="00A56D23" w:rsidRPr="0065045F" w:rsidRDefault="00A56D23" w:rsidP="00866B00">
            <w:pPr>
              <w:autoSpaceDE w:val="0"/>
              <w:autoSpaceDN w:val="0"/>
              <w:adjustRightInd w:val="0"/>
              <w:spacing w:after="0" w:line="240" w:lineRule="auto"/>
              <w:ind w:firstLine="540"/>
              <w:jc w:val="both"/>
              <w:outlineLvl w:val="0"/>
              <w:rPr>
                <w:rFonts w:ascii="Times New Roman" w:hAnsi="Times New Roman"/>
                <w:sz w:val="24"/>
                <w:szCs w:val="24"/>
              </w:rPr>
            </w:pPr>
            <w:r w:rsidRPr="0065045F">
              <w:rPr>
                <w:rFonts w:ascii="Times New Roman" w:hAnsi="Times New Roman"/>
                <w:sz w:val="24"/>
                <w:szCs w:val="24"/>
              </w:rPr>
              <w:t>а) для Общества, балансовая стоимость активов которого на дату окончания отчетного периода (квартала, года), предшествующего одобрению сделки Советом директоров Общества, а если такая сделка Советом директоров Общества до ее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w:t>
            </w:r>
            <w:proofErr w:type="gramStart"/>
            <w:r w:rsidRPr="0065045F">
              <w:rPr>
                <w:rFonts w:ascii="Times New Roman" w:hAnsi="Times New Roman"/>
                <w:sz w:val="24"/>
                <w:szCs w:val="24"/>
              </w:rPr>
              <w:t xml:space="preserve">финансовой) </w:t>
            </w:r>
            <w:proofErr w:type="gramEnd"/>
            <w:r w:rsidRPr="0065045F">
              <w:rPr>
                <w:rFonts w:ascii="Times New Roman" w:hAnsi="Times New Roman"/>
                <w:sz w:val="24"/>
                <w:szCs w:val="24"/>
              </w:rPr>
              <w:t>отчетности, составляет не более 100 млрд. рублей, - 500 млн. рублей либо 2 или более процента балансовой стоимости активов Общества на указанную дату;</w:t>
            </w:r>
          </w:p>
          <w:p w:rsidR="00A56D23" w:rsidRPr="0028224E" w:rsidRDefault="00A56D23" w:rsidP="00866B00">
            <w:pPr>
              <w:autoSpaceDE w:val="0"/>
              <w:autoSpaceDN w:val="0"/>
              <w:adjustRightInd w:val="0"/>
              <w:spacing w:after="0" w:line="240" w:lineRule="auto"/>
              <w:ind w:firstLine="540"/>
              <w:jc w:val="both"/>
              <w:outlineLvl w:val="0"/>
              <w:rPr>
                <w:rFonts w:ascii="Times New Roman" w:hAnsi="Times New Roman"/>
                <w:sz w:val="24"/>
                <w:szCs w:val="24"/>
              </w:rPr>
            </w:pPr>
            <w:r w:rsidRPr="0065045F">
              <w:rPr>
                <w:rFonts w:ascii="Times New Roman" w:hAnsi="Times New Roman"/>
                <w:sz w:val="24"/>
                <w:szCs w:val="24"/>
              </w:rPr>
              <w:t>б) для Общества, балансовая стоимость активов которого на дату окончания отчетного периода (квартала, года), предшествующего одобрению сделки Советом директоров Общества, а если такая сделка Советом директоров Общества до ее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w:t>
            </w:r>
            <w:proofErr w:type="gramStart"/>
            <w:r w:rsidRPr="0065045F">
              <w:rPr>
                <w:rFonts w:ascii="Times New Roman" w:hAnsi="Times New Roman"/>
                <w:sz w:val="24"/>
                <w:szCs w:val="24"/>
              </w:rPr>
              <w:t xml:space="preserve">финансовой) </w:t>
            </w:r>
            <w:proofErr w:type="gramEnd"/>
            <w:r w:rsidRPr="0065045F">
              <w:rPr>
                <w:rFonts w:ascii="Times New Roman" w:hAnsi="Times New Roman"/>
                <w:sz w:val="24"/>
                <w:szCs w:val="24"/>
              </w:rPr>
              <w:t>отчетности, превышает 100 млрд. рублей, - 1 или более процента балансовой стоимости активов Общества на указанную дату;</w:t>
            </w:r>
          </w:p>
          <w:p w:rsidR="00A56D23" w:rsidRPr="0028224E" w:rsidRDefault="00A56D23" w:rsidP="00866B00">
            <w:pPr>
              <w:spacing w:after="0" w:line="240" w:lineRule="auto"/>
              <w:jc w:val="both"/>
              <w:rPr>
                <w:rFonts w:ascii="Times New Roman" w:hAnsi="Times New Roman"/>
                <w:bCs/>
                <w:color w:val="000000"/>
                <w:sz w:val="24"/>
                <w:szCs w:val="24"/>
              </w:rPr>
            </w:pP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 xml:space="preserve">об изменении состава и (или) размера предмета залога по облигациям Общества с залоговым обеспечением, а в случае изменения состава и (или) размера предмета залога по облигациям Общества с ипотечным покрытием – сведения о таких изменениях, если они вызваны заменой любого обеспеченного ипотекой требования, </w:t>
            </w:r>
            <w:r w:rsidRPr="0028224E">
              <w:rPr>
                <w:rFonts w:ascii="Times New Roman" w:hAnsi="Times New Roman"/>
                <w:color w:val="000000"/>
                <w:sz w:val="24"/>
                <w:szCs w:val="24"/>
              </w:rPr>
              <w:lastRenderedPageBreak/>
              <w:t>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w:t>
            </w:r>
            <w:proofErr w:type="gramEnd"/>
            <w:r w:rsidRPr="0028224E">
              <w:rPr>
                <w:rFonts w:ascii="Times New Roman" w:hAnsi="Times New Roman"/>
                <w:color w:val="000000"/>
                <w:sz w:val="24"/>
                <w:szCs w:val="24"/>
              </w:rPr>
              <w:t xml:space="preserve"> или более процентов от размера ипотечного покрытия облигаций;</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об изменении стоимости активов лица, предоставившего обеспечение по облигациям Общества, которое составляет 10 или более процентов, или об ином существенном, по мнению Общества, изменении финансово-хозяйственного положения такого лица;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w:t>
            </w:r>
            <w:proofErr w:type="gramEnd"/>
            <w:r w:rsidRPr="0028224E">
              <w:rPr>
                <w:rFonts w:ascii="Times New Roman" w:hAnsi="Times New Roman"/>
                <w:color w:val="000000"/>
                <w:sz w:val="24"/>
                <w:szCs w:val="24"/>
              </w:rPr>
              <w:t xml:space="preserve"> </w:t>
            </w:r>
            <w:proofErr w:type="gramStart"/>
            <w:r w:rsidRPr="0028224E">
              <w:rPr>
                <w:rFonts w:ascii="Times New Roman" w:hAnsi="Times New Roman"/>
                <w:color w:val="000000"/>
                <w:sz w:val="24"/>
                <w:szCs w:val="24"/>
              </w:rPr>
              <w:t>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w:t>
            </w:r>
            <w:proofErr w:type="gramEnd"/>
            <w:r w:rsidRPr="0028224E">
              <w:rPr>
                <w:rFonts w:ascii="Times New Roman" w:hAnsi="Times New Roman"/>
                <w:color w:val="000000"/>
                <w:sz w:val="24"/>
                <w:szCs w:val="24"/>
              </w:rPr>
              <w:t xml:space="preserve"> голосующие акции (доли), составляющие уставный капитал такой организации;</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Общества, распоряжаться определенным количеством</w:t>
            </w:r>
            <w:proofErr w:type="gramEnd"/>
            <w:r w:rsidRPr="0028224E">
              <w:rPr>
                <w:rFonts w:ascii="Times New Roman" w:hAnsi="Times New Roman"/>
                <w:color w:val="000000"/>
                <w:sz w:val="24"/>
                <w:szCs w:val="24"/>
              </w:rPr>
              <w:t xml:space="preserve"> голосов, приходящихся на голосующие акции (доли), составляющие уставный капитал такой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заключении Обществом, контролирующим его лицом или подконтрольной Обществу организацией договора, предусматривающего обязанность приобретать эмиссионные ценные бумаги указанного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sz w:val="24"/>
                <w:szCs w:val="24"/>
              </w:rPr>
            </w:pPr>
            <w:r w:rsidRPr="0028224E">
              <w:rPr>
                <w:rFonts w:ascii="Times New Roman" w:hAnsi="Times New Roman"/>
                <w:sz w:val="24"/>
                <w:szCs w:val="24"/>
              </w:rPr>
              <w:t>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Общества на осуществление определенной деятельности, имеющей для указанного Общества существенное финансово-хозяйственное значение;</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об истечении срока полномочий единоличного исполнительного органа и (или) членов коллегиального исполнительного органа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об изменении размера доли участия в уставном капитале Общества и подконтрольных Обществу организаций, имеющих для него существенное значение:</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лиц, являющихся членами Совета директоров, членами коллегиального исполнительного органа Общества, а также лица, занимающего должность (осуществляющего функции) единоличного исполнительного органа Общества;</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sz w:val="24"/>
                <w:szCs w:val="24"/>
              </w:rPr>
            </w:pPr>
            <w:r w:rsidRPr="0028224E">
              <w:rPr>
                <w:rFonts w:ascii="Times New Roman" w:hAnsi="Times New Roman"/>
                <w:sz w:val="24"/>
                <w:szCs w:val="24"/>
              </w:rPr>
              <w:t xml:space="preserve">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w:t>
            </w:r>
            <w:r w:rsidRPr="0028224E">
              <w:rPr>
                <w:rFonts w:ascii="Times New Roman" w:hAnsi="Times New Roman"/>
                <w:sz w:val="24"/>
                <w:szCs w:val="24"/>
              </w:rPr>
              <w:lastRenderedPageBreak/>
              <w:t>исполнительного органа управляющей организации, в случае, если полномочия единоличного исполнительного органа Общества переданы управляющей организации;</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sz w:val="24"/>
                <w:szCs w:val="24"/>
              </w:rPr>
            </w:pPr>
            <w:r w:rsidRPr="0028224E">
              <w:rPr>
                <w:rFonts w:ascii="Times New Roman" w:hAnsi="Times New Roman"/>
                <w:sz w:val="24"/>
                <w:szCs w:val="24"/>
              </w:rPr>
              <w:t>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привлечении или замене организаций, оказывающих Обществу услуги посредника при исполнении Обществом обязательств по облигациям или иным эмиссионным ценным бумагам Общества, с указанием их наименований, мест нахождения и размеров вознаграждений за оказываемые услуги, а также об изменении указанных сведений;</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споре, связанном с созданием Общества, управлением им или участием в нем, если решение по указанному спору может оказать существенное влияние на цену эмиссионных ценных бумаг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предъявлении лицу, предоставившему обеспечение по облигациям Общества, требований, связанных с исполнением обязательств по таким облигациям;</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о приобретении (об отчуждении) голосующих акций Общества или ценных бумаг иностранного эмитента, удостоверяющих права в отношении голосующих акций Общества, Обществом и (или) подконтрольными Обществу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Обществом и (или) подконтрольной ему организацией;</w:t>
            </w:r>
            <w:proofErr w:type="gramEnd"/>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9C2A38" w:rsidRDefault="00A56D23" w:rsidP="00866B00">
            <w:pPr>
              <w:spacing w:after="0" w:line="240" w:lineRule="auto"/>
              <w:jc w:val="both"/>
              <w:rPr>
                <w:rFonts w:ascii="Times New Roman" w:hAnsi="Times New Roman"/>
                <w:bCs/>
                <w:sz w:val="24"/>
                <w:szCs w:val="24"/>
              </w:rPr>
            </w:pPr>
            <w:proofErr w:type="gramStart"/>
            <w:r w:rsidRPr="009C2A38">
              <w:rPr>
                <w:rFonts w:ascii="Times New Roman" w:hAnsi="Times New Roman"/>
                <w:sz w:val="24"/>
                <w:szCs w:val="24"/>
              </w:rPr>
              <w:t xml:space="preserve">информация, </w:t>
            </w:r>
            <w:r w:rsidRPr="004246A8">
              <w:rPr>
                <w:rFonts w:ascii="Times New Roman" w:hAnsi="Times New Roman"/>
                <w:sz w:val="24"/>
                <w:szCs w:val="24"/>
              </w:rPr>
              <w:t>направляемая или предоставляемая Обществом соответствующему органу (соответствующей организации) иностранного государства, иностранной фондовой бир</w:t>
            </w:r>
            <w:r w:rsidRPr="005A404C">
              <w:rPr>
                <w:rFonts w:ascii="Times New Roman" w:hAnsi="Times New Roman"/>
                <w:sz w:val="24"/>
                <w:szCs w:val="24"/>
              </w:rPr>
              <w:t>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Общества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w:t>
            </w:r>
            <w:proofErr w:type="gramEnd"/>
            <w:r w:rsidRPr="005A404C">
              <w:rPr>
                <w:rFonts w:ascii="Times New Roman" w:hAnsi="Times New Roman"/>
                <w:sz w:val="24"/>
                <w:szCs w:val="24"/>
              </w:rPr>
              <w:t xml:space="preserve"> эмитента</w:t>
            </w:r>
            <w:r w:rsidRPr="00DD126B">
              <w:rPr>
                <w:rFonts w:ascii="Times New Roman" w:hAnsi="Times New Roman"/>
                <w:sz w:val="24"/>
                <w:szCs w:val="24"/>
              </w:rPr>
              <w:t xml:space="preserve">, </w:t>
            </w:r>
            <w:r w:rsidRPr="0065045F">
              <w:rPr>
                <w:rFonts w:ascii="Times New Roman" w:hAnsi="Times New Roman"/>
                <w:sz w:val="24"/>
                <w:szCs w:val="24"/>
              </w:rPr>
              <w:t>если такая информация может оказать существенное влияние на цену эмиссионных ценных бумаг эмитента;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9C2A38" w:rsidRDefault="00A56D23" w:rsidP="00866B00">
            <w:pPr>
              <w:autoSpaceDE w:val="0"/>
              <w:autoSpaceDN w:val="0"/>
              <w:adjustRightInd w:val="0"/>
              <w:spacing w:after="0" w:line="240" w:lineRule="auto"/>
              <w:ind w:firstLine="540"/>
              <w:jc w:val="both"/>
              <w:outlineLvl w:val="0"/>
              <w:rPr>
                <w:rFonts w:ascii="Times New Roman" w:hAnsi="Times New Roman"/>
                <w:sz w:val="24"/>
                <w:szCs w:val="24"/>
              </w:rPr>
            </w:pPr>
            <w:r w:rsidRPr="009C2A38">
              <w:rPr>
                <w:rFonts w:ascii="Times New Roman" w:hAnsi="Times New Roman"/>
                <w:color w:val="000000"/>
                <w:sz w:val="24"/>
                <w:szCs w:val="24"/>
              </w:rPr>
              <w:t xml:space="preserve">составляющая годовую или промежуточную </w:t>
            </w:r>
            <w:r w:rsidRPr="004246A8">
              <w:rPr>
                <w:rFonts w:ascii="Times New Roman" w:hAnsi="Times New Roman"/>
                <w:color w:val="000000"/>
                <w:sz w:val="24"/>
                <w:szCs w:val="24"/>
              </w:rPr>
              <w:t xml:space="preserve">(квартальную) бухгалтерскую (финансовую) отчетность Общества, в том числе его годовую или промежуточную сводную бухгалтерскую (консолидированную финансовую) отчетность, </w:t>
            </w:r>
            <w:r w:rsidRPr="0065045F">
              <w:rPr>
                <w:rFonts w:ascii="Times New Roman" w:hAnsi="Times New Roman"/>
                <w:sz w:val="24"/>
                <w:szCs w:val="24"/>
              </w:rPr>
              <w:t>а также содержащаяся в аудиторском заключении, подготовленном в отношении указанной отчетности</w:t>
            </w:r>
            <w:r w:rsidRPr="0065045F">
              <w:rPr>
                <w:rFonts w:ascii="Times New Roman" w:hAnsi="Times New Roman"/>
                <w:color w:val="000000"/>
                <w:sz w:val="24"/>
                <w:szCs w:val="24"/>
              </w:rPr>
              <w:t>;</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составляющая условия размещения эмиссионных ценных бумаг, определенные утвержденным уполномоченным органом Общества решением о выпуске (дополнительном выпуске) ценных бумаг, в случае:</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размещения ценных бумаг на торгах, проводимых организатором торговли на рынке ценных бумаг;</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proofErr w:type="gramStart"/>
            <w:r w:rsidRPr="0028224E">
              <w:rPr>
                <w:rFonts w:ascii="Times New Roman" w:hAnsi="Times New Roman"/>
                <w:color w:val="000000"/>
                <w:sz w:val="24"/>
                <w:szCs w:val="24"/>
              </w:rPr>
              <w:t>содержащаяся</w:t>
            </w:r>
            <w:proofErr w:type="gramEnd"/>
            <w:r w:rsidRPr="0028224E">
              <w:rPr>
                <w:rFonts w:ascii="Times New Roman" w:hAnsi="Times New Roman"/>
                <w:color w:val="000000"/>
                <w:sz w:val="24"/>
                <w:szCs w:val="24"/>
              </w:rPr>
              <w:t xml:space="preserve"> в утвержденном уполномоченным органом Общества отчете (уведомлении) об итогах выпуска эмиссионных ценных бумаг в случае:</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 xml:space="preserve">размещения ценных бумаг на торгах, проводимых организатором торговли на рынке </w:t>
            </w:r>
            <w:r w:rsidRPr="0028224E">
              <w:rPr>
                <w:rFonts w:ascii="Times New Roman" w:hAnsi="Times New Roman"/>
                <w:color w:val="000000"/>
                <w:sz w:val="24"/>
                <w:szCs w:val="24"/>
              </w:rPr>
              <w:lastRenderedPageBreak/>
              <w:t>ценных бумаг;</w:t>
            </w:r>
          </w:p>
        </w:tc>
      </w:tr>
      <w:tr w:rsidR="00A56D23" w:rsidRPr="0028224E" w:rsidTr="00866B00">
        <w:tc>
          <w:tcPr>
            <w:tcW w:w="768" w:type="dxa"/>
          </w:tcPr>
          <w:p w:rsidR="00A56D23" w:rsidRPr="0028224E" w:rsidRDefault="00A56D23" w:rsidP="00A56D23">
            <w:pPr>
              <w:numPr>
                <w:ilvl w:val="1"/>
                <w:numId w:val="3"/>
              </w:numPr>
              <w:tabs>
                <w:tab w:val="left" w:pos="142"/>
              </w:tabs>
              <w:spacing w:after="0" w:line="240" w:lineRule="auto"/>
              <w:ind w:left="284" w:hanging="284"/>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color w:val="000000"/>
                <w:sz w:val="24"/>
                <w:szCs w:val="24"/>
              </w:rPr>
            </w:pPr>
          </w:p>
        </w:tc>
        <w:tc>
          <w:tcPr>
            <w:tcW w:w="8979" w:type="dxa"/>
          </w:tcPr>
          <w:p w:rsidR="00A56D23" w:rsidRPr="0028224E" w:rsidRDefault="00A56D23" w:rsidP="00866B00">
            <w:pPr>
              <w:spacing w:after="0" w:line="240" w:lineRule="auto"/>
              <w:jc w:val="both"/>
              <w:rPr>
                <w:rFonts w:ascii="Times New Roman" w:hAnsi="Times New Roman"/>
                <w:bCs/>
                <w:color w:val="000000"/>
                <w:sz w:val="24"/>
                <w:szCs w:val="24"/>
              </w:rPr>
            </w:pPr>
            <w:r w:rsidRPr="0028224E">
              <w:rPr>
                <w:rFonts w:ascii="Times New Roman" w:hAnsi="Times New Roman"/>
                <w:color w:val="000000"/>
                <w:sz w:val="24"/>
                <w:szCs w:val="24"/>
              </w:rPr>
              <w:t>содержащаяся в утвержденном уполномоченным органом Общества проспекте ценных бумаг,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28224E" w:rsidRDefault="00A56D23" w:rsidP="00866B00">
            <w:pPr>
              <w:spacing w:after="0" w:line="240" w:lineRule="auto"/>
              <w:jc w:val="both"/>
              <w:rPr>
                <w:rFonts w:ascii="Times New Roman" w:hAnsi="Times New Roman"/>
                <w:bCs/>
                <w:sz w:val="24"/>
                <w:szCs w:val="24"/>
              </w:rPr>
            </w:pPr>
            <w:r w:rsidRPr="0028224E">
              <w:rPr>
                <w:rFonts w:ascii="Times New Roman" w:hAnsi="Times New Roman"/>
                <w:sz w:val="24"/>
                <w:szCs w:val="24"/>
              </w:rPr>
              <w:t>содержащаяся в подписанных уполномоченными лицами Общества ежеквартальных отчетах,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28224E" w:rsidRDefault="00A56D23" w:rsidP="00866B00">
            <w:pPr>
              <w:spacing w:after="0" w:line="240" w:lineRule="auto"/>
              <w:jc w:val="both"/>
              <w:rPr>
                <w:rFonts w:ascii="Times New Roman" w:hAnsi="Times New Roman"/>
                <w:bCs/>
                <w:sz w:val="24"/>
                <w:szCs w:val="24"/>
              </w:rPr>
            </w:pPr>
            <w:r w:rsidRPr="0028224E">
              <w:rPr>
                <w:rFonts w:ascii="Times New Roman" w:hAnsi="Times New Roman"/>
                <w:sz w:val="24"/>
                <w:szCs w:val="24"/>
              </w:rPr>
              <w:t>содержащаяся в подписанных уполномоченными лицами Общества годовых отчетах Общества,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outlineLvl w:val="0"/>
              <w:rPr>
                <w:rFonts w:ascii="Times New Roman" w:hAnsi="Times New Roman"/>
                <w:sz w:val="24"/>
                <w:szCs w:val="24"/>
              </w:rPr>
            </w:pPr>
            <w:r w:rsidRPr="0065045F">
              <w:rPr>
                <w:rFonts w:ascii="Times New Roman" w:hAnsi="Times New Roman"/>
                <w:sz w:val="24"/>
                <w:szCs w:val="24"/>
              </w:rPr>
              <w:t>о содержании документов стратегического планирования и Стратегии Общества, а также о заключении Обществом договора о стратегическом партнерстве или иного договора, не предусмотренного подпунктами 20, 21, 23, 30, 32, 37 настоящего пункта, если заключение таких договоров может оказать существенное влияние на цену эмиссионных ценных бумаг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об изменении доли хозяйствующего субъекта, занимающего доминирующее положение, на рынке определенного товара, если в результате такого изменения указанная доля стала больше или меньше 35, 40, 45, 50, 55, 60, 65, 70, 75, 80, 85, 90, 95 процентов;</w:t>
            </w:r>
            <w:r w:rsidRPr="009A75E4">
              <w:rPr>
                <w:rStyle w:val="a5"/>
              </w:rPr>
              <w:footnoteReference w:id="1"/>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 появлении у хозяйствующего субъекта, занимающего доминирующее положение, возможности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об увеличении или уменьшении расходов хозяйствующего субъекта, занимающего доминирующее положение, необходимых для производства и (или) реализации определенного товара, на 10 или более процентов;</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об увеличении или сокращении хозяйствующим субъектом, занимающим доминирующее положение, производства определенного товара на 10 или более процентов;</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proofErr w:type="gramStart"/>
            <w:r w:rsidRPr="0065045F">
              <w:rPr>
                <w:rFonts w:ascii="Times New Roman" w:hAnsi="Times New Roman"/>
                <w:sz w:val="24"/>
                <w:szCs w:val="24"/>
              </w:rPr>
              <w:t>о достижении хозяйствующим субъектом, занимающим доминирующее положение на рынке определенного товара, соглашения с другим хозяйствующим субъектом, доля которого на рынке этого товара составляет более 1 процента, а также о расторжении такого соглашения или изменении его существенных условий, если указанное соглашение касается цены, условий реализации и приобретения этого товара, условий доступа на соответствующий товарный рынок других хозяйствующих субъектов, в том числе</w:t>
            </w:r>
            <w:proofErr w:type="gramEnd"/>
            <w:r w:rsidRPr="0065045F">
              <w:rPr>
                <w:rFonts w:ascii="Times New Roman" w:hAnsi="Times New Roman"/>
                <w:sz w:val="24"/>
                <w:szCs w:val="24"/>
              </w:rPr>
              <w:t xml:space="preserve"> новых конкурентов, условий обращения этого товара на товарном рынке;</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proofErr w:type="gramStart"/>
            <w:r w:rsidRPr="0065045F">
              <w:rPr>
                <w:rFonts w:ascii="Times New Roman" w:hAnsi="Times New Roman"/>
                <w:sz w:val="24"/>
                <w:szCs w:val="24"/>
              </w:rPr>
              <w:t xml:space="preserve">о достижении хозяйствующим субъектом, занимающим доминирующее положение на рынке определенного товара, соглашения с другим хозяйствующим субъектом, предусматривающего совершение такими хозяйствующими субъектами согласованных действий или действий по соглашению на соответствующем </w:t>
            </w:r>
            <w:r w:rsidRPr="0065045F">
              <w:rPr>
                <w:rFonts w:ascii="Times New Roman" w:hAnsi="Times New Roman"/>
                <w:sz w:val="24"/>
                <w:szCs w:val="24"/>
              </w:rPr>
              <w:lastRenderedPageBreak/>
              <w:t>товарном рынке, а также о расторжении указанного соглашения или изменении его существенных условий;</w:t>
            </w:r>
            <w:proofErr w:type="gramEnd"/>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 xml:space="preserve">о действиях (бездействии) хозяйствующего субъекта, занимающего доминирующее положение, </w:t>
            </w:r>
            <w:proofErr w:type="gramStart"/>
            <w:r w:rsidRPr="0065045F">
              <w:rPr>
                <w:rFonts w:ascii="Times New Roman" w:hAnsi="Times New Roman"/>
                <w:sz w:val="24"/>
                <w:szCs w:val="24"/>
              </w:rPr>
              <w:t>которые</w:t>
            </w:r>
            <w:proofErr w:type="gramEnd"/>
            <w:r w:rsidRPr="0065045F">
              <w:rPr>
                <w:rFonts w:ascii="Times New Roman" w:hAnsi="Times New Roman"/>
                <w:sz w:val="24"/>
                <w:szCs w:val="24"/>
              </w:rPr>
              <w:t xml:space="preserve"> в установленном порядке признаны злоупотреблением хозяйствующим субъектом своим доминирующим положением;</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 появлении оснований для включения хозяйствующего субъекта, доля которого на рынке определенного товара составляет более 1 процента, в одну группу лиц с хозяйствующим субъектом, занимающим доминирующее положение на рынке этого товара;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 подаче антимонопольным органом иска о принудительном разделении хозяйствующего субъекта, занимающего доминирующее положение, либо выделении из его состава одной или нескольких коммерческих организаций, а также о результатах рассмотрения арбитражным судом такого иска;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 xml:space="preserve">о возбуждении антимонопольным органом </w:t>
            </w:r>
            <w:proofErr w:type="gramStart"/>
            <w:r w:rsidRPr="0065045F">
              <w:rPr>
                <w:rFonts w:ascii="Times New Roman" w:hAnsi="Times New Roman"/>
                <w:sz w:val="24"/>
                <w:szCs w:val="24"/>
              </w:rPr>
              <w:t>дела</w:t>
            </w:r>
            <w:proofErr w:type="gramEnd"/>
            <w:r w:rsidRPr="0065045F">
              <w:rPr>
                <w:rFonts w:ascii="Times New Roman" w:hAnsi="Times New Roman"/>
                <w:sz w:val="24"/>
                <w:szCs w:val="24"/>
              </w:rPr>
              <w:t xml:space="preserve"> о нарушении хозяйствующим субъектом, занимающим доминирующее положение, антимонопольного </w:t>
            </w:r>
            <w:hyperlink r:id="rId8" w:history="1">
              <w:r w:rsidRPr="0065045F">
                <w:rPr>
                  <w:rFonts w:ascii="Times New Roman" w:hAnsi="Times New Roman"/>
                  <w:sz w:val="24"/>
                  <w:szCs w:val="24"/>
                </w:rPr>
                <w:t>законодательства</w:t>
              </w:r>
            </w:hyperlink>
            <w:r w:rsidRPr="0065045F">
              <w:rPr>
                <w:rFonts w:ascii="Times New Roman" w:hAnsi="Times New Roman"/>
                <w:sz w:val="24"/>
                <w:szCs w:val="24"/>
              </w:rPr>
              <w:t xml:space="preserve"> Российской Федерации, а также о результатах рассмотрения такого дела;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 xml:space="preserve">об исполнении хозяйствующим субъектом, занимающим доминирующее положение, предписания антимонопольного органа по делу о нарушении антимонопольного </w:t>
            </w:r>
            <w:hyperlink r:id="rId9" w:history="1">
              <w:r w:rsidRPr="0065045F">
                <w:rPr>
                  <w:rFonts w:ascii="Times New Roman" w:hAnsi="Times New Roman"/>
                  <w:sz w:val="24"/>
                  <w:szCs w:val="24"/>
                </w:rPr>
                <w:t>законодательства</w:t>
              </w:r>
            </w:hyperlink>
            <w:r w:rsidRPr="0065045F">
              <w:rPr>
                <w:rFonts w:ascii="Times New Roman" w:hAnsi="Times New Roman"/>
                <w:sz w:val="24"/>
                <w:szCs w:val="24"/>
              </w:rPr>
              <w:t xml:space="preserve"> Российской Федерации;</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 принятии хозяйствующим субъектом, занимающим доминирующее положение, решения о своей реорганизации или ликвидации;</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 направлении хозяйствующим субъектом, занимающим доминирующее положение,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такого хозяйствующего субъекта,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 появлении у хозяйствующего субъекта, занимающего доминирующее положение, признаков несостоятельности (банкротства), предусмотренных законодательством Российской Федерации о несостоятельности (банкротстве);</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 принятии арбитражным судом заявления о признании хозяйствующего субъекта, занимающего доминирующее положение, банкротом, а также о принятии арбитражным судом решения о признании такого хозяйствующего субъекта банкротом, введении в отношении него одной из процедур банкротства, прекращении в отношении него производства по делу о банкротстве;</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 xml:space="preserve">о предъявлении хозяйствующему субъекту, занимающему доминирующее положение, иска, размер требований по которому составляет 10 или более процентов балансовой стоимости активов такого хозяйствующего субъекта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указанного хозяйствующего субъекта, может существенным образом повлиять </w:t>
            </w:r>
            <w:proofErr w:type="gramStart"/>
            <w:r w:rsidRPr="0065045F">
              <w:rPr>
                <w:rFonts w:ascii="Times New Roman" w:hAnsi="Times New Roman"/>
                <w:sz w:val="24"/>
                <w:szCs w:val="24"/>
              </w:rPr>
              <w:t>на</w:t>
            </w:r>
            <w:proofErr w:type="gramEnd"/>
            <w:r w:rsidRPr="0065045F">
              <w:rPr>
                <w:rFonts w:ascii="Times New Roman" w:hAnsi="Times New Roman"/>
                <w:sz w:val="24"/>
                <w:szCs w:val="24"/>
              </w:rPr>
              <w:t xml:space="preserve"> </w:t>
            </w:r>
            <w:proofErr w:type="gramStart"/>
            <w:r w:rsidRPr="0065045F">
              <w:rPr>
                <w:rFonts w:ascii="Times New Roman" w:hAnsi="Times New Roman"/>
                <w:sz w:val="24"/>
                <w:szCs w:val="24"/>
              </w:rPr>
              <w:t>его</w:t>
            </w:r>
            <w:proofErr w:type="gramEnd"/>
            <w:r w:rsidRPr="0065045F">
              <w:rPr>
                <w:rFonts w:ascii="Times New Roman" w:hAnsi="Times New Roman"/>
                <w:sz w:val="24"/>
                <w:szCs w:val="24"/>
              </w:rPr>
              <w:t xml:space="preserve"> финансово-хозяйственное положение;</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65045F"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о совершении хозяйствующим субъектом, занимающим доминирующее положение, сделки, признаваемой в соответствии с законодательством Российской Федерации крупной сделкой;</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290F7A" w:rsidRDefault="00A56D23" w:rsidP="00866B00">
            <w:pPr>
              <w:autoSpaceDE w:val="0"/>
              <w:autoSpaceDN w:val="0"/>
              <w:adjustRightInd w:val="0"/>
              <w:spacing w:after="0" w:line="240" w:lineRule="auto"/>
              <w:jc w:val="both"/>
              <w:rPr>
                <w:rFonts w:ascii="Times New Roman" w:hAnsi="Times New Roman"/>
                <w:sz w:val="24"/>
                <w:szCs w:val="24"/>
              </w:rPr>
            </w:pPr>
            <w:r w:rsidRPr="00290F7A">
              <w:rPr>
                <w:rFonts w:ascii="Times New Roman" w:hAnsi="Times New Roman"/>
                <w:sz w:val="24"/>
                <w:szCs w:val="24"/>
              </w:rPr>
              <w:t xml:space="preserve">об избрании (назначении) единоличного исполнительного органа, членов коллегиального исполнительного органа, членов совета директоров (наблюдательного совета) или иного коллегиального органа управления хозяйствующего субъекта, занимающего доминирующее положение, либо о передаче полномочий единоличного исполнительного органа такого </w:t>
            </w:r>
            <w:r w:rsidRPr="00290F7A">
              <w:rPr>
                <w:rFonts w:ascii="Times New Roman" w:hAnsi="Times New Roman"/>
                <w:sz w:val="24"/>
                <w:szCs w:val="24"/>
              </w:rPr>
              <w:lastRenderedPageBreak/>
              <w:t>хозяйствующего субъекта управляющей организации (управляющему);</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290F7A" w:rsidRDefault="00A56D23" w:rsidP="00866B00">
            <w:pPr>
              <w:autoSpaceDE w:val="0"/>
              <w:autoSpaceDN w:val="0"/>
              <w:adjustRightInd w:val="0"/>
              <w:spacing w:after="0" w:line="240" w:lineRule="auto"/>
              <w:jc w:val="both"/>
              <w:rPr>
                <w:rFonts w:ascii="Times New Roman" w:hAnsi="Times New Roman"/>
                <w:sz w:val="24"/>
                <w:szCs w:val="24"/>
              </w:rPr>
            </w:pPr>
            <w:r w:rsidRPr="0065045F">
              <w:rPr>
                <w:rFonts w:ascii="Times New Roman" w:hAnsi="Times New Roman"/>
                <w:sz w:val="24"/>
                <w:szCs w:val="24"/>
              </w:rPr>
              <w:t>составляющая бухгалтерскую (финансовую) отчетность х</w:t>
            </w:r>
            <w:r w:rsidRPr="00290F7A">
              <w:rPr>
                <w:rFonts w:ascii="Times New Roman" w:hAnsi="Times New Roman"/>
                <w:sz w:val="24"/>
                <w:szCs w:val="24"/>
              </w:rPr>
              <w:t xml:space="preserve">озяйствующего субъекта, занимающего доминирующее положение, в том числе его сводную бухгалтерскую (консолидированную финансовую) отчетность; </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290F7A" w:rsidRDefault="00A56D23" w:rsidP="00866B00">
            <w:pPr>
              <w:spacing w:after="0" w:line="240" w:lineRule="auto"/>
              <w:jc w:val="both"/>
              <w:rPr>
                <w:rFonts w:ascii="Times New Roman" w:hAnsi="Times New Roman"/>
                <w:sz w:val="24"/>
                <w:szCs w:val="24"/>
              </w:rPr>
            </w:pPr>
            <w:r w:rsidRPr="00290F7A">
              <w:rPr>
                <w:rFonts w:ascii="Times New Roman" w:hAnsi="Times New Roman"/>
                <w:sz w:val="24"/>
                <w:szCs w:val="24"/>
              </w:rPr>
              <w:t>о фактах существенных изменений стоимости активов и обязательств Общества</w:t>
            </w:r>
          </w:p>
        </w:tc>
      </w:tr>
      <w:tr w:rsidR="00A56D23" w:rsidRPr="0028224E" w:rsidTr="00866B00">
        <w:tc>
          <w:tcPr>
            <w:tcW w:w="768" w:type="dxa"/>
          </w:tcPr>
          <w:p w:rsidR="00A56D23" w:rsidRPr="0028224E" w:rsidRDefault="00A56D23" w:rsidP="00A56D23">
            <w:pPr>
              <w:numPr>
                <w:ilvl w:val="0"/>
                <w:numId w:val="3"/>
              </w:numPr>
              <w:tabs>
                <w:tab w:val="left" w:pos="142"/>
              </w:tabs>
              <w:spacing w:after="0" w:line="240" w:lineRule="auto"/>
              <w:ind w:left="284" w:hanging="284"/>
              <w:jc w:val="both"/>
              <w:rPr>
                <w:rFonts w:ascii="Times New Roman" w:hAnsi="Times New Roman"/>
                <w:bCs/>
                <w:sz w:val="24"/>
                <w:szCs w:val="24"/>
              </w:rPr>
            </w:pPr>
          </w:p>
        </w:tc>
        <w:tc>
          <w:tcPr>
            <w:tcW w:w="8979" w:type="dxa"/>
          </w:tcPr>
          <w:p w:rsidR="00A56D23" w:rsidRPr="00290F7A" w:rsidRDefault="00A56D23" w:rsidP="00866B00">
            <w:pPr>
              <w:autoSpaceDE w:val="0"/>
              <w:autoSpaceDN w:val="0"/>
              <w:adjustRightInd w:val="0"/>
              <w:spacing w:after="0" w:line="240" w:lineRule="auto"/>
              <w:jc w:val="both"/>
              <w:outlineLvl w:val="0"/>
              <w:rPr>
                <w:rFonts w:ascii="Times New Roman" w:hAnsi="Times New Roman"/>
                <w:sz w:val="24"/>
                <w:szCs w:val="24"/>
              </w:rPr>
            </w:pPr>
            <w:r w:rsidRPr="00290F7A">
              <w:rPr>
                <w:rFonts w:ascii="Times New Roman" w:hAnsi="Times New Roman"/>
                <w:sz w:val="24"/>
                <w:szCs w:val="24"/>
              </w:rPr>
              <w:t>иная не раскрытая информация, которая касается Общества  или ценных бумаг Общества, является точной и конкретной, будучи раскрытой, с большей долей вероятности повлияет на стоимость ценных бумаг Общества, в том числе:</w:t>
            </w:r>
          </w:p>
          <w:p w:rsidR="00A56D23" w:rsidRPr="00290F7A" w:rsidRDefault="00A56D23" w:rsidP="00866B00">
            <w:pPr>
              <w:autoSpaceDE w:val="0"/>
              <w:autoSpaceDN w:val="0"/>
              <w:adjustRightInd w:val="0"/>
              <w:spacing w:after="0" w:line="240" w:lineRule="auto"/>
              <w:jc w:val="both"/>
              <w:outlineLvl w:val="0"/>
              <w:rPr>
                <w:rFonts w:ascii="Times New Roman" w:hAnsi="Times New Roman"/>
                <w:sz w:val="24"/>
                <w:szCs w:val="24"/>
              </w:rPr>
            </w:pPr>
            <w:r w:rsidRPr="00290F7A">
              <w:rPr>
                <w:rFonts w:ascii="Times New Roman" w:hAnsi="Times New Roman"/>
                <w:sz w:val="24"/>
                <w:szCs w:val="24"/>
              </w:rPr>
              <w:t>- существенные финансовые сведения, например, промежуточные финансовые результаты деятельности Общества;</w:t>
            </w:r>
          </w:p>
          <w:p w:rsidR="00A56D23" w:rsidRPr="00290F7A" w:rsidRDefault="00A56D23" w:rsidP="00866B00">
            <w:pPr>
              <w:autoSpaceDE w:val="0"/>
              <w:autoSpaceDN w:val="0"/>
              <w:adjustRightInd w:val="0"/>
              <w:spacing w:after="0" w:line="240" w:lineRule="auto"/>
              <w:jc w:val="both"/>
              <w:outlineLvl w:val="0"/>
              <w:rPr>
                <w:rFonts w:ascii="Times New Roman" w:hAnsi="Times New Roman"/>
                <w:sz w:val="24"/>
                <w:szCs w:val="24"/>
              </w:rPr>
            </w:pPr>
            <w:r w:rsidRPr="00290F7A">
              <w:rPr>
                <w:rFonts w:ascii="Times New Roman" w:hAnsi="Times New Roman"/>
                <w:sz w:val="24"/>
                <w:szCs w:val="24"/>
              </w:rPr>
              <w:t>- информация о решениях (в том числе потенциальных или планируемых решениях) органов государственной власти в отношении тарифов за услуги по распределению электрической энергии и в отношении согласования инвестиционных программ (или их проектов) Общества;</w:t>
            </w:r>
          </w:p>
          <w:p w:rsidR="00A56D23" w:rsidRPr="00290F7A" w:rsidRDefault="00A56D23" w:rsidP="00866B00">
            <w:pPr>
              <w:autoSpaceDE w:val="0"/>
              <w:autoSpaceDN w:val="0"/>
              <w:adjustRightInd w:val="0"/>
              <w:spacing w:after="0" w:line="240" w:lineRule="auto"/>
              <w:jc w:val="both"/>
              <w:outlineLvl w:val="0"/>
              <w:rPr>
                <w:rFonts w:ascii="Times New Roman" w:hAnsi="Times New Roman"/>
                <w:sz w:val="24"/>
                <w:szCs w:val="24"/>
              </w:rPr>
            </w:pPr>
            <w:r w:rsidRPr="00290F7A">
              <w:rPr>
                <w:rFonts w:ascii="Times New Roman" w:hAnsi="Times New Roman"/>
                <w:sz w:val="24"/>
                <w:szCs w:val="24"/>
              </w:rPr>
              <w:t>- консолидированная годовая или промежуточная финансовая отчетность Общества по стандартам МСФО;</w:t>
            </w:r>
          </w:p>
          <w:p w:rsidR="00A56D23" w:rsidRPr="00290F7A" w:rsidRDefault="00A56D23" w:rsidP="00866B00">
            <w:pPr>
              <w:autoSpaceDE w:val="0"/>
              <w:autoSpaceDN w:val="0"/>
              <w:adjustRightInd w:val="0"/>
              <w:spacing w:after="0" w:line="240" w:lineRule="auto"/>
              <w:jc w:val="both"/>
              <w:outlineLvl w:val="0"/>
              <w:rPr>
                <w:rFonts w:ascii="Times New Roman" w:hAnsi="Times New Roman"/>
                <w:sz w:val="24"/>
                <w:szCs w:val="24"/>
              </w:rPr>
            </w:pPr>
            <w:r w:rsidRPr="00290F7A">
              <w:rPr>
                <w:rFonts w:ascii="Times New Roman" w:hAnsi="Times New Roman"/>
                <w:sz w:val="24"/>
                <w:szCs w:val="24"/>
              </w:rPr>
              <w:t>- информация о готовящихся сделках по слиянию или поглощению, приобретению и отчуждению акций и иных существенных активов;</w:t>
            </w:r>
          </w:p>
          <w:p w:rsidR="00A56D23" w:rsidRPr="00290F7A" w:rsidRDefault="00A56D23" w:rsidP="00866B00">
            <w:pPr>
              <w:autoSpaceDE w:val="0"/>
              <w:autoSpaceDN w:val="0"/>
              <w:adjustRightInd w:val="0"/>
              <w:spacing w:after="0" w:line="240" w:lineRule="auto"/>
              <w:jc w:val="both"/>
              <w:outlineLvl w:val="0"/>
              <w:rPr>
                <w:rFonts w:ascii="Times New Roman" w:hAnsi="Times New Roman"/>
                <w:sz w:val="24"/>
                <w:szCs w:val="24"/>
              </w:rPr>
            </w:pPr>
            <w:r w:rsidRPr="00290F7A">
              <w:rPr>
                <w:rFonts w:ascii="Times New Roman" w:hAnsi="Times New Roman"/>
                <w:sz w:val="24"/>
                <w:szCs w:val="24"/>
              </w:rPr>
              <w:t>- ключевые изменения организационной структуры или органов управления Общества, включая изменение в составе органов управления Общества, назначение/увольнение Генерального директора Общества и заместителя Генерального директора Общества, курирующего   финансы</w:t>
            </w:r>
            <w:r w:rsidR="00C52F5C">
              <w:rPr>
                <w:rFonts w:ascii="Times New Roman" w:hAnsi="Times New Roman"/>
                <w:sz w:val="24"/>
                <w:szCs w:val="24"/>
              </w:rPr>
              <w:t>;</w:t>
            </w:r>
            <w:bookmarkStart w:id="0" w:name="_GoBack"/>
            <w:bookmarkEnd w:id="0"/>
            <w:r w:rsidRPr="00290F7A">
              <w:rPr>
                <w:rFonts w:ascii="Times New Roman" w:hAnsi="Times New Roman"/>
                <w:sz w:val="24"/>
                <w:szCs w:val="24"/>
              </w:rPr>
              <w:t xml:space="preserve"> </w:t>
            </w:r>
          </w:p>
          <w:p w:rsidR="00A56D23" w:rsidRPr="00290F7A" w:rsidRDefault="00A56D23" w:rsidP="00C52F5C">
            <w:pPr>
              <w:autoSpaceDE w:val="0"/>
              <w:autoSpaceDN w:val="0"/>
              <w:adjustRightInd w:val="0"/>
              <w:spacing w:after="0" w:line="240" w:lineRule="auto"/>
              <w:jc w:val="both"/>
              <w:outlineLvl w:val="0"/>
              <w:rPr>
                <w:rFonts w:ascii="Times New Roman" w:hAnsi="Times New Roman"/>
                <w:sz w:val="24"/>
                <w:szCs w:val="24"/>
              </w:rPr>
            </w:pPr>
            <w:r w:rsidRPr="00290F7A">
              <w:rPr>
                <w:rFonts w:ascii="Times New Roman" w:hAnsi="Times New Roman"/>
                <w:sz w:val="24"/>
                <w:szCs w:val="24"/>
              </w:rPr>
              <w:t xml:space="preserve"> - информация о сделках с акциями Общества, совершаемых членами Совета директоров и Правления Общества.</w:t>
            </w:r>
          </w:p>
        </w:tc>
      </w:tr>
    </w:tbl>
    <w:p w:rsidR="00A56D23" w:rsidRPr="0028224E" w:rsidRDefault="00A56D23" w:rsidP="00A56D23">
      <w:pPr>
        <w:spacing w:after="0" w:line="240" w:lineRule="auto"/>
        <w:rPr>
          <w:rFonts w:ascii="Times New Roman" w:hAnsi="Times New Roman"/>
          <w:color w:val="000000"/>
          <w:sz w:val="24"/>
          <w:szCs w:val="24"/>
        </w:rPr>
      </w:pPr>
    </w:p>
    <w:p w:rsidR="00A56D23" w:rsidRPr="0028224E" w:rsidRDefault="00A56D23" w:rsidP="00A56D23">
      <w:pPr>
        <w:spacing w:before="120" w:after="0" w:line="240" w:lineRule="auto"/>
        <w:ind w:firstLine="709"/>
        <w:jc w:val="both"/>
        <w:rPr>
          <w:rFonts w:ascii="Times New Roman" w:hAnsi="Times New Roman"/>
          <w:color w:val="000000"/>
          <w:sz w:val="24"/>
          <w:szCs w:val="24"/>
        </w:rPr>
      </w:pPr>
      <w:r w:rsidRPr="0028224E">
        <w:rPr>
          <w:rFonts w:ascii="Times New Roman" w:hAnsi="Times New Roman"/>
          <w:color w:val="000000"/>
          <w:sz w:val="24"/>
          <w:szCs w:val="24"/>
        </w:rPr>
        <w:t xml:space="preserve">Информация о размещаемых Обществом эмиссионных ценных бумагах, предусмотренная пунктами 13 – 16 настоящего Перечня, относится к инсайдерской информации Общества в случае, если: </w:t>
      </w:r>
    </w:p>
    <w:p w:rsidR="00A56D23" w:rsidRPr="0028224E" w:rsidRDefault="00A56D23" w:rsidP="00A56D23">
      <w:pPr>
        <w:numPr>
          <w:ilvl w:val="1"/>
          <w:numId w:val="2"/>
        </w:numPr>
        <w:spacing w:before="120" w:after="0" w:line="240" w:lineRule="auto"/>
        <w:ind w:left="0" w:firstLine="357"/>
        <w:jc w:val="both"/>
        <w:rPr>
          <w:rFonts w:ascii="Times New Roman" w:hAnsi="Times New Roman"/>
          <w:color w:val="000000"/>
          <w:sz w:val="24"/>
          <w:szCs w:val="24"/>
        </w:rPr>
      </w:pPr>
      <w:r w:rsidRPr="0028224E">
        <w:rPr>
          <w:rFonts w:ascii="Times New Roman" w:hAnsi="Times New Roman"/>
          <w:color w:val="000000"/>
          <w:sz w:val="24"/>
          <w:szCs w:val="24"/>
        </w:rPr>
        <w:t xml:space="preserve">размещение эмиссионных ценных бумаг Общества осуществляется на торгах, проводимых организатором торговли на рынке ценных бумаг; </w:t>
      </w:r>
    </w:p>
    <w:p w:rsidR="00A56D23" w:rsidRPr="0028224E" w:rsidRDefault="00A56D23" w:rsidP="00A56D23">
      <w:pPr>
        <w:numPr>
          <w:ilvl w:val="1"/>
          <w:numId w:val="2"/>
        </w:numPr>
        <w:spacing w:before="120" w:after="0" w:line="240" w:lineRule="auto"/>
        <w:ind w:left="0" w:firstLine="357"/>
        <w:jc w:val="both"/>
        <w:rPr>
          <w:rFonts w:ascii="Times New Roman" w:hAnsi="Times New Roman"/>
          <w:color w:val="000000"/>
          <w:sz w:val="24"/>
          <w:szCs w:val="24"/>
        </w:rPr>
      </w:pPr>
      <w:r w:rsidRPr="0028224E">
        <w:rPr>
          <w:rFonts w:ascii="Times New Roman" w:hAnsi="Times New Roman"/>
          <w:color w:val="000000"/>
          <w:sz w:val="24"/>
          <w:szCs w:val="24"/>
        </w:rPr>
        <w:t xml:space="preserve">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торгам на организаторе торговли на рынке ценных бумаг или в отношении которых подана заявка о допуске к торгам на организаторе торговли на рынке ценных бумаг. </w:t>
      </w:r>
    </w:p>
    <w:p w:rsidR="00A56D23" w:rsidRPr="0028224E" w:rsidRDefault="00A56D23" w:rsidP="00A56D23">
      <w:pPr>
        <w:spacing w:before="120" w:after="0" w:line="240" w:lineRule="auto"/>
        <w:ind w:firstLine="709"/>
        <w:jc w:val="both"/>
        <w:rPr>
          <w:rFonts w:ascii="Times New Roman" w:hAnsi="Times New Roman"/>
          <w:color w:val="000000"/>
          <w:sz w:val="24"/>
          <w:szCs w:val="24"/>
        </w:rPr>
      </w:pPr>
      <w:proofErr w:type="gramStart"/>
      <w:r w:rsidRPr="0028224E">
        <w:rPr>
          <w:rFonts w:ascii="Times New Roman" w:hAnsi="Times New Roman"/>
          <w:color w:val="000000"/>
          <w:sz w:val="24"/>
          <w:szCs w:val="24"/>
        </w:rPr>
        <w:t xml:space="preserve">Информация о размещенных (находящихся в обращении) эмиссионных ценных бумагах Общества, предусмотренная пунктами 12, 18, 19, 23, 37, 41 настоящего Перечня, относится к инсайдерской информации Общества в случае, если указанные эмиссионные ценные бумаги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 </w:t>
      </w:r>
      <w:proofErr w:type="gramEnd"/>
    </w:p>
    <w:p w:rsidR="00A56D23" w:rsidRPr="0028224E" w:rsidRDefault="00A56D23" w:rsidP="00A56D23">
      <w:pPr>
        <w:spacing w:before="120" w:after="0" w:line="240" w:lineRule="auto"/>
        <w:ind w:firstLine="709"/>
        <w:jc w:val="both"/>
        <w:rPr>
          <w:rFonts w:ascii="Times New Roman" w:hAnsi="Times New Roman"/>
          <w:color w:val="000000"/>
          <w:sz w:val="24"/>
          <w:szCs w:val="24"/>
        </w:rPr>
      </w:pPr>
      <w:proofErr w:type="gramStart"/>
      <w:r w:rsidRPr="0028224E">
        <w:rPr>
          <w:rFonts w:ascii="Times New Roman" w:hAnsi="Times New Roman"/>
          <w:color w:val="000000"/>
          <w:sz w:val="24"/>
          <w:szCs w:val="24"/>
        </w:rPr>
        <w:t>Информация о лице, предоставившем обеспечение по облигациям Общества, а также об условиях такого обеспечения, предусмотренная пунктами 7 – 11, 30, 33, 34, 36, 44 настоящего Перечня, относится к инсайдерской информации Общества в случае, если указанные облигации допущены к торгам на организаторе торговли на рынке ценных бумаг или в отношении них подана заявка о допуске к торгам на организаторе торговли на рынке</w:t>
      </w:r>
      <w:proofErr w:type="gramEnd"/>
      <w:r w:rsidRPr="0028224E">
        <w:rPr>
          <w:rFonts w:ascii="Times New Roman" w:hAnsi="Times New Roman"/>
          <w:color w:val="000000"/>
          <w:sz w:val="24"/>
          <w:szCs w:val="24"/>
        </w:rPr>
        <w:t xml:space="preserve"> ценных бумаг. </w:t>
      </w:r>
    </w:p>
    <w:p w:rsidR="00A56D23" w:rsidRPr="0028224E" w:rsidRDefault="00A56D23" w:rsidP="00A56D23">
      <w:pPr>
        <w:autoSpaceDE w:val="0"/>
        <w:autoSpaceDN w:val="0"/>
        <w:adjustRightInd w:val="0"/>
        <w:spacing w:after="0" w:line="240" w:lineRule="auto"/>
        <w:ind w:firstLine="540"/>
        <w:jc w:val="both"/>
        <w:outlineLvl w:val="1"/>
        <w:rPr>
          <w:rFonts w:ascii="Times New Roman" w:hAnsi="Times New Roman"/>
          <w:sz w:val="24"/>
          <w:szCs w:val="24"/>
        </w:rPr>
      </w:pPr>
      <w:r w:rsidRPr="0028224E">
        <w:rPr>
          <w:rFonts w:ascii="Times New Roman" w:hAnsi="Times New Roman"/>
          <w:color w:val="000000"/>
          <w:sz w:val="24"/>
          <w:szCs w:val="24"/>
        </w:rPr>
        <w:t xml:space="preserve">Если лицом, </w:t>
      </w:r>
      <w:proofErr w:type="gramStart"/>
      <w:r w:rsidRPr="0028224E">
        <w:rPr>
          <w:rFonts w:ascii="Times New Roman" w:hAnsi="Times New Roman"/>
          <w:color w:val="000000"/>
          <w:sz w:val="24"/>
          <w:szCs w:val="24"/>
        </w:rPr>
        <w:t>предоставившем</w:t>
      </w:r>
      <w:proofErr w:type="gramEnd"/>
      <w:r w:rsidRPr="0028224E">
        <w:rPr>
          <w:rFonts w:ascii="Times New Roman" w:hAnsi="Times New Roman"/>
          <w:color w:val="000000"/>
          <w:sz w:val="24"/>
          <w:szCs w:val="24"/>
        </w:rPr>
        <w:t xml:space="preserve"> обеспечение по облигациям Общества, предусмотренным пунктами 7-11, 30, 34 настоящего Перечня является </w:t>
      </w:r>
      <w:r w:rsidRPr="0028224E">
        <w:rPr>
          <w:rFonts w:ascii="Times New Roman" w:hAnsi="Times New Roman"/>
          <w:sz w:val="24"/>
          <w:szCs w:val="24"/>
        </w:rPr>
        <w:t xml:space="preserve">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w:t>
      </w:r>
      <w:r w:rsidRPr="0028224E">
        <w:rPr>
          <w:rFonts w:ascii="Times New Roman" w:hAnsi="Times New Roman"/>
          <w:sz w:val="24"/>
          <w:szCs w:val="24"/>
        </w:rPr>
        <w:lastRenderedPageBreak/>
        <w:t>Федерации, и (или) муниципальное образование, предоставившее муниципальную гарантию по облигациям Общества, такая информация не является инсайдерской.</w:t>
      </w:r>
    </w:p>
    <w:p w:rsidR="00A56D23" w:rsidRPr="0028224E" w:rsidRDefault="00A56D23" w:rsidP="00A56D23">
      <w:pPr>
        <w:spacing w:before="120" w:after="0" w:line="240" w:lineRule="auto"/>
        <w:ind w:firstLine="709"/>
        <w:jc w:val="both"/>
        <w:rPr>
          <w:rFonts w:ascii="Times New Roman" w:hAnsi="Times New Roman"/>
          <w:color w:val="000000"/>
          <w:sz w:val="24"/>
          <w:szCs w:val="24"/>
        </w:rPr>
      </w:pPr>
    </w:p>
    <w:p w:rsidR="00A56D23" w:rsidRPr="0028224E" w:rsidRDefault="00A56D23" w:rsidP="00A56D23">
      <w:pPr>
        <w:widowControl w:val="0"/>
        <w:autoSpaceDE w:val="0"/>
        <w:autoSpaceDN w:val="0"/>
        <w:adjustRightInd w:val="0"/>
        <w:spacing w:after="0" w:line="240" w:lineRule="auto"/>
        <w:ind w:right="-20"/>
        <w:rPr>
          <w:rFonts w:ascii="Times New Roman" w:hAnsi="Times New Roman"/>
          <w:sz w:val="24"/>
          <w:szCs w:val="24"/>
        </w:rPr>
      </w:pPr>
    </w:p>
    <w:p w:rsidR="00A56D23" w:rsidRPr="0028224E" w:rsidRDefault="00A56D23" w:rsidP="00A56D23">
      <w:pPr>
        <w:widowControl w:val="0"/>
        <w:autoSpaceDE w:val="0"/>
        <w:autoSpaceDN w:val="0"/>
        <w:adjustRightInd w:val="0"/>
        <w:spacing w:after="0" w:line="240" w:lineRule="auto"/>
        <w:ind w:right="-20"/>
        <w:rPr>
          <w:rFonts w:ascii="Times New Roman" w:hAnsi="Times New Roman"/>
          <w:sz w:val="24"/>
          <w:szCs w:val="24"/>
        </w:rPr>
      </w:pPr>
    </w:p>
    <w:p w:rsidR="00A56D23" w:rsidRPr="0028224E" w:rsidRDefault="00A56D23" w:rsidP="00A56D23">
      <w:pPr>
        <w:widowControl w:val="0"/>
        <w:autoSpaceDE w:val="0"/>
        <w:autoSpaceDN w:val="0"/>
        <w:adjustRightInd w:val="0"/>
        <w:spacing w:after="0" w:line="240" w:lineRule="auto"/>
        <w:ind w:right="-20"/>
        <w:rPr>
          <w:rFonts w:ascii="Times New Roman" w:hAnsi="Times New Roman"/>
          <w:sz w:val="24"/>
          <w:szCs w:val="24"/>
        </w:rPr>
      </w:pPr>
    </w:p>
    <w:p w:rsidR="00496187" w:rsidRDefault="00496187"/>
    <w:sectPr w:rsidR="00496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23" w:rsidRDefault="00A56D23" w:rsidP="00A56D23">
      <w:pPr>
        <w:spacing w:after="0" w:line="240" w:lineRule="auto"/>
      </w:pPr>
      <w:r>
        <w:separator/>
      </w:r>
    </w:p>
  </w:endnote>
  <w:endnote w:type="continuationSeparator" w:id="0">
    <w:p w:rsidR="00A56D23" w:rsidRDefault="00A56D23" w:rsidP="00A5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23" w:rsidRDefault="00A56D23" w:rsidP="00A56D23">
      <w:pPr>
        <w:spacing w:after="0" w:line="240" w:lineRule="auto"/>
      </w:pPr>
      <w:r>
        <w:separator/>
      </w:r>
    </w:p>
  </w:footnote>
  <w:footnote w:type="continuationSeparator" w:id="0">
    <w:p w:rsidR="00A56D23" w:rsidRDefault="00A56D23" w:rsidP="00A56D23">
      <w:pPr>
        <w:spacing w:after="0" w:line="240" w:lineRule="auto"/>
      </w:pPr>
      <w:r>
        <w:continuationSeparator/>
      </w:r>
    </w:p>
  </w:footnote>
  <w:footnote w:id="1">
    <w:p w:rsidR="00A56D23" w:rsidRPr="00C828D6" w:rsidRDefault="00A56D23" w:rsidP="00A56D23">
      <w:pPr>
        <w:pStyle w:val="a3"/>
        <w:rPr>
          <w:lang w:val="ru-RU"/>
        </w:rPr>
      </w:pPr>
      <w:r w:rsidRPr="009A75E4">
        <w:rPr>
          <w:rStyle w:val="a5"/>
        </w:rPr>
        <w:footnoteRef/>
      </w:r>
      <w:r>
        <w:t xml:space="preserve"> </w:t>
      </w:r>
      <w:r>
        <w:rPr>
          <w:lang w:val="ru-RU"/>
        </w:rPr>
        <w:t>Перечень инсайдерской информации, начиная с пунктов 55 - 74, относится к Обществам, включенным в реестр ФАС, предусмотренный ст. 23 ФЗ от 26.07.2006 № 135-ФЗ «О защите конкуренции»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3B1"/>
    <w:multiLevelType w:val="multilevel"/>
    <w:tmpl w:val="61B4AE32"/>
    <w:styleLink w:val="1"/>
    <w:lvl w:ilvl="0">
      <w:start w:val="2"/>
      <w:numFmt w:val="decimal"/>
      <w:lvlText w:val="%1."/>
      <w:lvlJc w:val="left"/>
      <w:pPr>
        <w:ind w:left="786"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nsid w:val="2BB04745"/>
    <w:multiLevelType w:val="hybridMultilevel"/>
    <w:tmpl w:val="34A026F8"/>
    <w:lvl w:ilvl="0" w:tplc="470636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0C60A63"/>
    <w:multiLevelType w:val="multilevel"/>
    <w:tmpl w:val="7D7A168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A2613B9"/>
    <w:multiLevelType w:val="multilevel"/>
    <w:tmpl w:val="61B4AE32"/>
    <w:numStyleLink w:val="1"/>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23"/>
    <w:rsid w:val="00000C9B"/>
    <w:rsid w:val="00003B3E"/>
    <w:rsid w:val="000111EA"/>
    <w:rsid w:val="000157D3"/>
    <w:rsid w:val="00017117"/>
    <w:rsid w:val="0002262B"/>
    <w:rsid w:val="000227A4"/>
    <w:rsid w:val="00037E95"/>
    <w:rsid w:val="00046ED8"/>
    <w:rsid w:val="00051EFB"/>
    <w:rsid w:val="0005512A"/>
    <w:rsid w:val="00061F0E"/>
    <w:rsid w:val="0006678C"/>
    <w:rsid w:val="00070C98"/>
    <w:rsid w:val="00074198"/>
    <w:rsid w:val="00074258"/>
    <w:rsid w:val="00077001"/>
    <w:rsid w:val="0007767A"/>
    <w:rsid w:val="0008013E"/>
    <w:rsid w:val="00080606"/>
    <w:rsid w:val="00082ADA"/>
    <w:rsid w:val="00082C86"/>
    <w:rsid w:val="000905E5"/>
    <w:rsid w:val="000919A5"/>
    <w:rsid w:val="00092459"/>
    <w:rsid w:val="00094B9C"/>
    <w:rsid w:val="000974FB"/>
    <w:rsid w:val="000A1518"/>
    <w:rsid w:val="000B49E9"/>
    <w:rsid w:val="000C133F"/>
    <w:rsid w:val="000D75A2"/>
    <w:rsid w:val="000E5FE3"/>
    <w:rsid w:val="000F019A"/>
    <w:rsid w:val="000F05DE"/>
    <w:rsid w:val="000F21D3"/>
    <w:rsid w:val="00103260"/>
    <w:rsid w:val="00111223"/>
    <w:rsid w:val="00111354"/>
    <w:rsid w:val="001117FD"/>
    <w:rsid w:val="00123AF7"/>
    <w:rsid w:val="00125F40"/>
    <w:rsid w:val="00132C47"/>
    <w:rsid w:val="00141963"/>
    <w:rsid w:val="001425A3"/>
    <w:rsid w:val="001456AE"/>
    <w:rsid w:val="00145944"/>
    <w:rsid w:val="0014777C"/>
    <w:rsid w:val="001632DC"/>
    <w:rsid w:val="001759D4"/>
    <w:rsid w:val="00182FF6"/>
    <w:rsid w:val="00192AB3"/>
    <w:rsid w:val="001A270F"/>
    <w:rsid w:val="001A6BE7"/>
    <w:rsid w:val="001B0E98"/>
    <w:rsid w:val="001B7CFC"/>
    <w:rsid w:val="001C15B2"/>
    <w:rsid w:val="001C45BA"/>
    <w:rsid w:val="001D3668"/>
    <w:rsid w:val="001D3A8E"/>
    <w:rsid w:val="001D789D"/>
    <w:rsid w:val="001E1FE2"/>
    <w:rsid w:val="001E3871"/>
    <w:rsid w:val="001F1F38"/>
    <w:rsid w:val="001F5006"/>
    <w:rsid w:val="001F78AD"/>
    <w:rsid w:val="001F7E21"/>
    <w:rsid w:val="00203F27"/>
    <w:rsid w:val="00205109"/>
    <w:rsid w:val="0021047E"/>
    <w:rsid w:val="00216A1B"/>
    <w:rsid w:val="00222D93"/>
    <w:rsid w:val="00223288"/>
    <w:rsid w:val="0022541A"/>
    <w:rsid w:val="00230011"/>
    <w:rsid w:val="002342F3"/>
    <w:rsid w:val="00235D17"/>
    <w:rsid w:val="00236C58"/>
    <w:rsid w:val="00243E6C"/>
    <w:rsid w:val="0024436A"/>
    <w:rsid w:val="002472D1"/>
    <w:rsid w:val="002502CF"/>
    <w:rsid w:val="002512DD"/>
    <w:rsid w:val="00253FBF"/>
    <w:rsid w:val="0026128D"/>
    <w:rsid w:val="002618FC"/>
    <w:rsid w:val="00266D25"/>
    <w:rsid w:val="00270C3C"/>
    <w:rsid w:val="00271E95"/>
    <w:rsid w:val="00273BE8"/>
    <w:rsid w:val="00275F56"/>
    <w:rsid w:val="0028079D"/>
    <w:rsid w:val="002850AE"/>
    <w:rsid w:val="00287FEE"/>
    <w:rsid w:val="00291372"/>
    <w:rsid w:val="0029341C"/>
    <w:rsid w:val="00295B58"/>
    <w:rsid w:val="00296A41"/>
    <w:rsid w:val="00296CB8"/>
    <w:rsid w:val="002A028D"/>
    <w:rsid w:val="002A3563"/>
    <w:rsid w:val="002A6458"/>
    <w:rsid w:val="002B11EC"/>
    <w:rsid w:val="002B3A23"/>
    <w:rsid w:val="002B4512"/>
    <w:rsid w:val="002B6CCE"/>
    <w:rsid w:val="002C3D2C"/>
    <w:rsid w:val="002C624D"/>
    <w:rsid w:val="002D139E"/>
    <w:rsid w:val="002D2563"/>
    <w:rsid w:val="002D2E2D"/>
    <w:rsid w:val="002D4323"/>
    <w:rsid w:val="002D6313"/>
    <w:rsid w:val="002D793C"/>
    <w:rsid w:val="002E1DC0"/>
    <w:rsid w:val="002F3DB4"/>
    <w:rsid w:val="002F4703"/>
    <w:rsid w:val="002F69DF"/>
    <w:rsid w:val="002F76F3"/>
    <w:rsid w:val="00312E6A"/>
    <w:rsid w:val="003345F5"/>
    <w:rsid w:val="003371D0"/>
    <w:rsid w:val="0033758D"/>
    <w:rsid w:val="00342D78"/>
    <w:rsid w:val="00343FD9"/>
    <w:rsid w:val="00345914"/>
    <w:rsid w:val="00345F4C"/>
    <w:rsid w:val="00346B8B"/>
    <w:rsid w:val="00346EFF"/>
    <w:rsid w:val="0035388C"/>
    <w:rsid w:val="00355D81"/>
    <w:rsid w:val="003566FE"/>
    <w:rsid w:val="00364200"/>
    <w:rsid w:val="00367C75"/>
    <w:rsid w:val="003708DD"/>
    <w:rsid w:val="003740C2"/>
    <w:rsid w:val="00390835"/>
    <w:rsid w:val="00394672"/>
    <w:rsid w:val="00394BE1"/>
    <w:rsid w:val="00396B50"/>
    <w:rsid w:val="003A641F"/>
    <w:rsid w:val="003A6979"/>
    <w:rsid w:val="003B5557"/>
    <w:rsid w:val="003C56F7"/>
    <w:rsid w:val="003C79C5"/>
    <w:rsid w:val="003D0985"/>
    <w:rsid w:val="003D2624"/>
    <w:rsid w:val="003F0F21"/>
    <w:rsid w:val="003F2BEC"/>
    <w:rsid w:val="003F4CE5"/>
    <w:rsid w:val="00400EB7"/>
    <w:rsid w:val="00410A54"/>
    <w:rsid w:val="00411180"/>
    <w:rsid w:val="00411930"/>
    <w:rsid w:val="00412A8D"/>
    <w:rsid w:val="0042316F"/>
    <w:rsid w:val="0042579E"/>
    <w:rsid w:val="004403A2"/>
    <w:rsid w:val="00444C78"/>
    <w:rsid w:val="00450595"/>
    <w:rsid w:val="004508F4"/>
    <w:rsid w:val="0045168D"/>
    <w:rsid w:val="004526AC"/>
    <w:rsid w:val="0045424B"/>
    <w:rsid w:val="004614F7"/>
    <w:rsid w:val="004659CA"/>
    <w:rsid w:val="0047076E"/>
    <w:rsid w:val="0047716A"/>
    <w:rsid w:val="00481355"/>
    <w:rsid w:val="00485832"/>
    <w:rsid w:val="00490555"/>
    <w:rsid w:val="00496187"/>
    <w:rsid w:val="004A3FD0"/>
    <w:rsid w:val="004A4D2F"/>
    <w:rsid w:val="004B1F5F"/>
    <w:rsid w:val="004B6278"/>
    <w:rsid w:val="004C5A6A"/>
    <w:rsid w:val="004D3C85"/>
    <w:rsid w:val="004D546D"/>
    <w:rsid w:val="004E4368"/>
    <w:rsid w:val="004E5134"/>
    <w:rsid w:val="004F226C"/>
    <w:rsid w:val="004F39C7"/>
    <w:rsid w:val="004F5B36"/>
    <w:rsid w:val="00500624"/>
    <w:rsid w:val="005034D5"/>
    <w:rsid w:val="00506024"/>
    <w:rsid w:val="005079F9"/>
    <w:rsid w:val="0051308A"/>
    <w:rsid w:val="005204E5"/>
    <w:rsid w:val="00530CBE"/>
    <w:rsid w:val="0053247D"/>
    <w:rsid w:val="00532F8D"/>
    <w:rsid w:val="00537B83"/>
    <w:rsid w:val="00545020"/>
    <w:rsid w:val="00555A36"/>
    <w:rsid w:val="005575FB"/>
    <w:rsid w:val="00557B8A"/>
    <w:rsid w:val="00562946"/>
    <w:rsid w:val="005677AC"/>
    <w:rsid w:val="0057167C"/>
    <w:rsid w:val="0057718A"/>
    <w:rsid w:val="00577B8E"/>
    <w:rsid w:val="00586B6F"/>
    <w:rsid w:val="005A13F2"/>
    <w:rsid w:val="005A32DF"/>
    <w:rsid w:val="005A3ED9"/>
    <w:rsid w:val="005A5564"/>
    <w:rsid w:val="005A7A72"/>
    <w:rsid w:val="005B1075"/>
    <w:rsid w:val="005B241B"/>
    <w:rsid w:val="005B472B"/>
    <w:rsid w:val="005B4921"/>
    <w:rsid w:val="005C24DF"/>
    <w:rsid w:val="005C7AF2"/>
    <w:rsid w:val="005D2623"/>
    <w:rsid w:val="005E00E4"/>
    <w:rsid w:val="005E1F45"/>
    <w:rsid w:val="005E3842"/>
    <w:rsid w:val="005E4D5B"/>
    <w:rsid w:val="005F2501"/>
    <w:rsid w:val="005F2A98"/>
    <w:rsid w:val="005F2F23"/>
    <w:rsid w:val="005F7397"/>
    <w:rsid w:val="00600822"/>
    <w:rsid w:val="00610B72"/>
    <w:rsid w:val="00611C64"/>
    <w:rsid w:val="00612C44"/>
    <w:rsid w:val="006136F7"/>
    <w:rsid w:val="00614FD4"/>
    <w:rsid w:val="00625814"/>
    <w:rsid w:val="0062600B"/>
    <w:rsid w:val="006300C3"/>
    <w:rsid w:val="00641CA3"/>
    <w:rsid w:val="00641CA7"/>
    <w:rsid w:val="006566DE"/>
    <w:rsid w:val="00656719"/>
    <w:rsid w:val="006622E7"/>
    <w:rsid w:val="00662825"/>
    <w:rsid w:val="0066424D"/>
    <w:rsid w:val="006657DB"/>
    <w:rsid w:val="0066722A"/>
    <w:rsid w:val="0066742D"/>
    <w:rsid w:val="00674651"/>
    <w:rsid w:val="00675D1A"/>
    <w:rsid w:val="0067702D"/>
    <w:rsid w:val="006865E6"/>
    <w:rsid w:val="00686787"/>
    <w:rsid w:val="00686911"/>
    <w:rsid w:val="00695F5C"/>
    <w:rsid w:val="00696D3B"/>
    <w:rsid w:val="006A2EE9"/>
    <w:rsid w:val="006A3BE0"/>
    <w:rsid w:val="006A543F"/>
    <w:rsid w:val="006B2AF5"/>
    <w:rsid w:val="006B347A"/>
    <w:rsid w:val="006B3FAF"/>
    <w:rsid w:val="006D5519"/>
    <w:rsid w:val="006D5D00"/>
    <w:rsid w:val="006E6AB1"/>
    <w:rsid w:val="006F4242"/>
    <w:rsid w:val="006F50D1"/>
    <w:rsid w:val="006F7659"/>
    <w:rsid w:val="00711745"/>
    <w:rsid w:val="007165E7"/>
    <w:rsid w:val="00733E5C"/>
    <w:rsid w:val="00735CD0"/>
    <w:rsid w:val="007412D1"/>
    <w:rsid w:val="00742E0F"/>
    <w:rsid w:val="00743CD0"/>
    <w:rsid w:val="007475C5"/>
    <w:rsid w:val="00751572"/>
    <w:rsid w:val="00762FED"/>
    <w:rsid w:val="00763847"/>
    <w:rsid w:val="00771118"/>
    <w:rsid w:val="007716A5"/>
    <w:rsid w:val="00774261"/>
    <w:rsid w:val="00777E29"/>
    <w:rsid w:val="00785822"/>
    <w:rsid w:val="00787A07"/>
    <w:rsid w:val="00791792"/>
    <w:rsid w:val="007971BB"/>
    <w:rsid w:val="007A0865"/>
    <w:rsid w:val="007A2145"/>
    <w:rsid w:val="007B0060"/>
    <w:rsid w:val="007B050D"/>
    <w:rsid w:val="007B0773"/>
    <w:rsid w:val="007B2985"/>
    <w:rsid w:val="007C6C8D"/>
    <w:rsid w:val="007C7383"/>
    <w:rsid w:val="007E0521"/>
    <w:rsid w:val="007E154E"/>
    <w:rsid w:val="007F2B6E"/>
    <w:rsid w:val="007F6D06"/>
    <w:rsid w:val="008016DE"/>
    <w:rsid w:val="00804615"/>
    <w:rsid w:val="008172CF"/>
    <w:rsid w:val="00825103"/>
    <w:rsid w:val="0082536D"/>
    <w:rsid w:val="00830741"/>
    <w:rsid w:val="008375D8"/>
    <w:rsid w:val="00843BFD"/>
    <w:rsid w:val="00846F8C"/>
    <w:rsid w:val="008505AC"/>
    <w:rsid w:val="0085106D"/>
    <w:rsid w:val="0085268B"/>
    <w:rsid w:val="00854998"/>
    <w:rsid w:val="00872582"/>
    <w:rsid w:val="00876CD2"/>
    <w:rsid w:val="0087727B"/>
    <w:rsid w:val="008816A9"/>
    <w:rsid w:val="008821AD"/>
    <w:rsid w:val="00882657"/>
    <w:rsid w:val="008C02AC"/>
    <w:rsid w:val="008C1715"/>
    <w:rsid w:val="008C5A10"/>
    <w:rsid w:val="008C7AF8"/>
    <w:rsid w:val="008D7F2F"/>
    <w:rsid w:val="008E01AC"/>
    <w:rsid w:val="008E0499"/>
    <w:rsid w:val="008E257F"/>
    <w:rsid w:val="008E2FB9"/>
    <w:rsid w:val="008E3C2B"/>
    <w:rsid w:val="008F2241"/>
    <w:rsid w:val="008F366C"/>
    <w:rsid w:val="009004DE"/>
    <w:rsid w:val="00901DBE"/>
    <w:rsid w:val="0090660E"/>
    <w:rsid w:val="00915E7E"/>
    <w:rsid w:val="00917035"/>
    <w:rsid w:val="0092596D"/>
    <w:rsid w:val="00926CBD"/>
    <w:rsid w:val="0093578C"/>
    <w:rsid w:val="00941BD3"/>
    <w:rsid w:val="00946E60"/>
    <w:rsid w:val="00947F8F"/>
    <w:rsid w:val="00963171"/>
    <w:rsid w:val="009727F6"/>
    <w:rsid w:val="009805B5"/>
    <w:rsid w:val="00992D8B"/>
    <w:rsid w:val="009977D0"/>
    <w:rsid w:val="009979A5"/>
    <w:rsid w:val="00997DFB"/>
    <w:rsid w:val="009A6D22"/>
    <w:rsid w:val="009B07C0"/>
    <w:rsid w:val="009B2472"/>
    <w:rsid w:val="009C0ED4"/>
    <w:rsid w:val="009C51A9"/>
    <w:rsid w:val="009C69AA"/>
    <w:rsid w:val="009C75F9"/>
    <w:rsid w:val="009D1096"/>
    <w:rsid w:val="009D31B0"/>
    <w:rsid w:val="009D4A48"/>
    <w:rsid w:val="009D50C2"/>
    <w:rsid w:val="009E0347"/>
    <w:rsid w:val="009E431F"/>
    <w:rsid w:val="009F08DC"/>
    <w:rsid w:val="00A02AF7"/>
    <w:rsid w:val="00A03EDB"/>
    <w:rsid w:val="00A0651D"/>
    <w:rsid w:val="00A106C9"/>
    <w:rsid w:val="00A2197A"/>
    <w:rsid w:val="00A21B43"/>
    <w:rsid w:val="00A33B93"/>
    <w:rsid w:val="00A342AB"/>
    <w:rsid w:val="00A364FE"/>
    <w:rsid w:val="00A40BED"/>
    <w:rsid w:val="00A41FD4"/>
    <w:rsid w:val="00A56D23"/>
    <w:rsid w:val="00A645B8"/>
    <w:rsid w:val="00A6564D"/>
    <w:rsid w:val="00A80E99"/>
    <w:rsid w:val="00A856C8"/>
    <w:rsid w:val="00A87DEF"/>
    <w:rsid w:val="00A92031"/>
    <w:rsid w:val="00A95878"/>
    <w:rsid w:val="00A97182"/>
    <w:rsid w:val="00AA1417"/>
    <w:rsid w:val="00AA21A6"/>
    <w:rsid w:val="00AA2A18"/>
    <w:rsid w:val="00AB1E14"/>
    <w:rsid w:val="00AB620C"/>
    <w:rsid w:val="00AB71DC"/>
    <w:rsid w:val="00AC56DF"/>
    <w:rsid w:val="00AC56FB"/>
    <w:rsid w:val="00AC7000"/>
    <w:rsid w:val="00AD4A69"/>
    <w:rsid w:val="00AE1E1B"/>
    <w:rsid w:val="00AE39C1"/>
    <w:rsid w:val="00AE3BBB"/>
    <w:rsid w:val="00AE4C9F"/>
    <w:rsid w:val="00AE79EB"/>
    <w:rsid w:val="00B00208"/>
    <w:rsid w:val="00B126DE"/>
    <w:rsid w:val="00B22675"/>
    <w:rsid w:val="00B22854"/>
    <w:rsid w:val="00B33F85"/>
    <w:rsid w:val="00B363CE"/>
    <w:rsid w:val="00B37410"/>
    <w:rsid w:val="00B54AFC"/>
    <w:rsid w:val="00B5532B"/>
    <w:rsid w:val="00B60222"/>
    <w:rsid w:val="00B73FF0"/>
    <w:rsid w:val="00B76B03"/>
    <w:rsid w:val="00B778CE"/>
    <w:rsid w:val="00B808C9"/>
    <w:rsid w:val="00B86E58"/>
    <w:rsid w:val="00B877F5"/>
    <w:rsid w:val="00BA04FC"/>
    <w:rsid w:val="00BB157F"/>
    <w:rsid w:val="00BB1932"/>
    <w:rsid w:val="00BB1952"/>
    <w:rsid w:val="00BB50A0"/>
    <w:rsid w:val="00BB5977"/>
    <w:rsid w:val="00BB7037"/>
    <w:rsid w:val="00BB79ED"/>
    <w:rsid w:val="00BC6FD1"/>
    <w:rsid w:val="00BD1062"/>
    <w:rsid w:val="00BD58CD"/>
    <w:rsid w:val="00BE3712"/>
    <w:rsid w:val="00C1196C"/>
    <w:rsid w:val="00C20542"/>
    <w:rsid w:val="00C27D84"/>
    <w:rsid w:val="00C435FC"/>
    <w:rsid w:val="00C50DB8"/>
    <w:rsid w:val="00C526A0"/>
    <w:rsid w:val="00C52F5C"/>
    <w:rsid w:val="00C61DCE"/>
    <w:rsid w:val="00C62453"/>
    <w:rsid w:val="00C67526"/>
    <w:rsid w:val="00C72924"/>
    <w:rsid w:val="00C73A78"/>
    <w:rsid w:val="00C85A3B"/>
    <w:rsid w:val="00C87D9E"/>
    <w:rsid w:val="00C948F6"/>
    <w:rsid w:val="00C97C08"/>
    <w:rsid w:val="00CA0323"/>
    <w:rsid w:val="00CB15C6"/>
    <w:rsid w:val="00CB4145"/>
    <w:rsid w:val="00CB53D4"/>
    <w:rsid w:val="00CB77AD"/>
    <w:rsid w:val="00CC4ABF"/>
    <w:rsid w:val="00CD2972"/>
    <w:rsid w:val="00CD7498"/>
    <w:rsid w:val="00CE07BC"/>
    <w:rsid w:val="00CE13E0"/>
    <w:rsid w:val="00CE411E"/>
    <w:rsid w:val="00CE6393"/>
    <w:rsid w:val="00CF0966"/>
    <w:rsid w:val="00CF0A50"/>
    <w:rsid w:val="00CF24C2"/>
    <w:rsid w:val="00CF2A09"/>
    <w:rsid w:val="00CF2B58"/>
    <w:rsid w:val="00CF2E23"/>
    <w:rsid w:val="00CF5049"/>
    <w:rsid w:val="00CF6BF2"/>
    <w:rsid w:val="00CF7873"/>
    <w:rsid w:val="00CF7B40"/>
    <w:rsid w:val="00D05601"/>
    <w:rsid w:val="00D0690D"/>
    <w:rsid w:val="00D201D0"/>
    <w:rsid w:val="00D24D10"/>
    <w:rsid w:val="00D26FE6"/>
    <w:rsid w:val="00D46566"/>
    <w:rsid w:val="00D4725A"/>
    <w:rsid w:val="00D5337A"/>
    <w:rsid w:val="00D5346F"/>
    <w:rsid w:val="00D6474E"/>
    <w:rsid w:val="00D64B0B"/>
    <w:rsid w:val="00D6698A"/>
    <w:rsid w:val="00D7028C"/>
    <w:rsid w:val="00D70DE7"/>
    <w:rsid w:val="00D73EAC"/>
    <w:rsid w:val="00D80D05"/>
    <w:rsid w:val="00D9485E"/>
    <w:rsid w:val="00D97DF2"/>
    <w:rsid w:val="00DA5A4D"/>
    <w:rsid w:val="00DC3E23"/>
    <w:rsid w:val="00DD2882"/>
    <w:rsid w:val="00DF15D2"/>
    <w:rsid w:val="00DF4CCD"/>
    <w:rsid w:val="00DF77E8"/>
    <w:rsid w:val="00E03C78"/>
    <w:rsid w:val="00E145FE"/>
    <w:rsid w:val="00E15BFA"/>
    <w:rsid w:val="00E1675F"/>
    <w:rsid w:val="00E16861"/>
    <w:rsid w:val="00E17FB1"/>
    <w:rsid w:val="00E20E29"/>
    <w:rsid w:val="00E2138A"/>
    <w:rsid w:val="00E27AE8"/>
    <w:rsid w:val="00E43651"/>
    <w:rsid w:val="00E46670"/>
    <w:rsid w:val="00E531E2"/>
    <w:rsid w:val="00E54C08"/>
    <w:rsid w:val="00E574C7"/>
    <w:rsid w:val="00E70F8F"/>
    <w:rsid w:val="00E71BDE"/>
    <w:rsid w:val="00E72D83"/>
    <w:rsid w:val="00E7456D"/>
    <w:rsid w:val="00E77868"/>
    <w:rsid w:val="00E801FF"/>
    <w:rsid w:val="00E83DBF"/>
    <w:rsid w:val="00E96159"/>
    <w:rsid w:val="00E96BE4"/>
    <w:rsid w:val="00EA38EB"/>
    <w:rsid w:val="00EA3A26"/>
    <w:rsid w:val="00EA4D6B"/>
    <w:rsid w:val="00EB08F4"/>
    <w:rsid w:val="00EB394A"/>
    <w:rsid w:val="00EB73E0"/>
    <w:rsid w:val="00ED543D"/>
    <w:rsid w:val="00EE7ED9"/>
    <w:rsid w:val="00EF05F6"/>
    <w:rsid w:val="00EF45F7"/>
    <w:rsid w:val="00EF5689"/>
    <w:rsid w:val="00EF6C0F"/>
    <w:rsid w:val="00F01BBA"/>
    <w:rsid w:val="00F02542"/>
    <w:rsid w:val="00F04837"/>
    <w:rsid w:val="00F063C6"/>
    <w:rsid w:val="00F1388B"/>
    <w:rsid w:val="00F14EF0"/>
    <w:rsid w:val="00F175C4"/>
    <w:rsid w:val="00F24AC5"/>
    <w:rsid w:val="00F3034B"/>
    <w:rsid w:val="00F32426"/>
    <w:rsid w:val="00F3264A"/>
    <w:rsid w:val="00F33EF6"/>
    <w:rsid w:val="00F33F2B"/>
    <w:rsid w:val="00F34C34"/>
    <w:rsid w:val="00F35EF9"/>
    <w:rsid w:val="00F37549"/>
    <w:rsid w:val="00F44831"/>
    <w:rsid w:val="00F47CCD"/>
    <w:rsid w:val="00F520E2"/>
    <w:rsid w:val="00F53B97"/>
    <w:rsid w:val="00F605A9"/>
    <w:rsid w:val="00F60C46"/>
    <w:rsid w:val="00F656B0"/>
    <w:rsid w:val="00F72632"/>
    <w:rsid w:val="00F74FA9"/>
    <w:rsid w:val="00F83233"/>
    <w:rsid w:val="00F87151"/>
    <w:rsid w:val="00F947E5"/>
    <w:rsid w:val="00FA1C8D"/>
    <w:rsid w:val="00FA49CF"/>
    <w:rsid w:val="00FB773C"/>
    <w:rsid w:val="00FE4E91"/>
    <w:rsid w:val="00FE7C97"/>
    <w:rsid w:val="00FF0D7F"/>
    <w:rsid w:val="00FF56B8"/>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23"/>
    <w:rPr>
      <w:rFonts w:ascii="Calibri" w:eastAsia="Times New Roman" w:hAnsi="Calibri" w:cs="Times New Roman"/>
      <w:lang w:eastAsia="ru-RU"/>
    </w:rPr>
  </w:style>
  <w:style w:type="paragraph" w:styleId="10">
    <w:name w:val="heading 1"/>
    <w:basedOn w:val="a"/>
    <w:next w:val="a"/>
    <w:link w:val="11"/>
    <w:uiPriority w:val="9"/>
    <w:qFormat/>
    <w:rsid w:val="00A56D23"/>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56D23"/>
    <w:rPr>
      <w:rFonts w:ascii="Cambria" w:eastAsia="Times New Roman" w:hAnsi="Cambria" w:cs="Times New Roman"/>
      <w:b/>
      <w:bCs/>
      <w:kern w:val="32"/>
      <w:sz w:val="32"/>
      <w:szCs w:val="32"/>
      <w:lang w:val="x-none" w:eastAsia="x-none"/>
    </w:rPr>
  </w:style>
  <w:style w:type="paragraph" w:styleId="a3">
    <w:name w:val="footnote text"/>
    <w:basedOn w:val="a"/>
    <w:link w:val="a4"/>
    <w:uiPriority w:val="99"/>
    <w:rsid w:val="00A56D23"/>
    <w:pPr>
      <w:autoSpaceDE w:val="0"/>
      <w:autoSpaceDN w:val="0"/>
      <w:spacing w:after="0" w:line="240" w:lineRule="auto"/>
    </w:pPr>
    <w:rPr>
      <w:rFonts w:ascii="Times New Roman" w:hAnsi="Times New Roman"/>
      <w:sz w:val="20"/>
      <w:szCs w:val="20"/>
      <w:lang w:val="x-none" w:eastAsia="x-none"/>
    </w:rPr>
  </w:style>
  <w:style w:type="character" w:customStyle="1" w:styleId="a4">
    <w:name w:val="Текст сноски Знак"/>
    <w:basedOn w:val="a0"/>
    <w:link w:val="a3"/>
    <w:uiPriority w:val="99"/>
    <w:rsid w:val="00A56D23"/>
    <w:rPr>
      <w:rFonts w:ascii="Times New Roman" w:eastAsia="Times New Roman" w:hAnsi="Times New Roman" w:cs="Times New Roman"/>
      <w:sz w:val="20"/>
      <w:szCs w:val="20"/>
      <w:lang w:val="x-none" w:eastAsia="x-none"/>
    </w:rPr>
  </w:style>
  <w:style w:type="character" w:styleId="a5">
    <w:name w:val="footnote reference"/>
    <w:uiPriority w:val="99"/>
    <w:rsid w:val="00A56D23"/>
    <w:rPr>
      <w:vertAlign w:val="superscript"/>
    </w:rPr>
  </w:style>
  <w:style w:type="numbering" w:customStyle="1" w:styleId="1">
    <w:name w:val="Стиль1"/>
    <w:uiPriority w:val="99"/>
    <w:rsid w:val="00A56D23"/>
    <w:pPr>
      <w:numPr>
        <w:numId w:val="1"/>
      </w:numPr>
    </w:pPr>
  </w:style>
  <w:style w:type="paragraph" w:styleId="a6">
    <w:name w:val="List Paragraph"/>
    <w:basedOn w:val="a"/>
    <w:uiPriority w:val="34"/>
    <w:qFormat/>
    <w:rsid w:val="00801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23"/>
    <w:rPr>
      <w:rFonts w:ascii="Calibri" w:eastAsia="Times New Roman" w:hAnsi="Calibri" w:cs="Times New Roman"/>
      <w:lang w:eastAsia="ru-RU"/>
    </w:rPr>
  </w:style>
  <w:style w:type="paragraph" w:styleId="10">
    <w:name w:val="heading 1"/>
    <w:basedOn w:val="a"/>
    <w:next w:val="a"/>
    <w:link w:val="11"/>
    <w:uiPriority w:val="9"/>
    <w:qFormat/>
    <w:rsid w:val="00A56D23"/>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56D23"/>
    <w:rPr>
      <w:rFonts w:ascii="Cambria" w:eastAsia="Times New Roman" w:hAnsi="Cambria" w:cs="Times New Roman"/>
      <w:b/>
      <w:bCs/>
      <w:kern w:val="32"/>
      <w:sz w:val="32"/>
      <w:szCs w:val="32"/>
      <w:lang w:val="x-none" w:eastAsia="x-none"/>
    </w:rPr>
  </w:style>
  <w:style w:type="paragraph" w:styleId="a3">
    <w:name w:val="footnote text"/>
    <w:basedOn w:val="a"/>
    <w:link w:val="a4"/>
    <w:uiPriority w:val="99"/>
    <w:rsid w:val="00A56D23"/>
    <w:pPr>
      <w:autoSpaceDE w:val="0"/>
      <w:autoSpaceDN w:val="0"/>
      <w:spacing w:after="0" w:line="240" w:lineRule="auto"/>
    </w:pPr>
    <w:rPr>
      <w:rFonts w:ascii="Times New Roman" w:hAnsi="Times New Roman"/>
      <w:sz w:val="20"/>
      <w:szCs w:val="20"/>
      <w:lang w:val="x-none" w:eastAsia="x-none"/>
    </w:rPr>
  </w:style>
  <w:style w:type="character" w:customStyle="1" w:styleId="a4">
    <w:name w:val="Текст сноски Знак"/>
    <w:basedOn w:val="a0"/>
    <w:link w:val="a3"/>
    <w:uiPriority w:val="99"/>
    <w:rsid w:val="00A56D23"/>
    <w:rPr>
      <w:rFonts w:ascii="Times New Roman" w:eastAsia="Times New Roman" w:hAnsi="Times New Roman" w:cs="Times New Roman"/>
      <w:sz w:val="20"/>
      <w:szCs w:val="20"/>
      <w:lang w:val="x-none" w:eastAsia="x-none"/>
    </w:rPr>
  </w:style>
  <w:style w:type="character" w:styleId="a5">
    <w:name w:val="footnote reference"/>
    <w:uiPriority w:val="99"/>
    <w:rsid w:val="00A56D23"/>
    <w:rPr>
      <w:vertAlign w:val="superscript"/>
    </w:rPr>
  </w:style>
  <w:style w:type="numbering" w:customStyle="1" w:styleId="1">
    <w:name w:val="Стиль1"/>
    <w:uiPriority w:val="99"/>
    <w:rsid w:val="00A56D23"/>
    <w:pPr>
      <w:numPr>
        <w:numId w:val="1"/>
      </w:numPr>
    </w:pPr>
  </w:style>
  <w:style w:type="paragraph" w:styleId="a6">
    <w:name w:val="List Paragraph"/>
    <w:basedOn w:val="a"/>
    <w:uiPriority w:val="34"/>
    <w:qFormat/>
    <w:rsid w:val="0080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CCAFB4EEEFB0BE8EFBEB7324D4C82E48BAFA3F7AA8F764EB73AC6C1K2C3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F0451430C388B5D9D71F964BD97FC604D91680DB702ED39E112D8C9Bq6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4507</Words>
  <Characters>25695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VarchenkoNV</dc:creator>
  <cp:keywords/>
  <dc:description/>
  <cp:lastModifiedBy>VarchenkoNV</cp:lastModifiedBy>
  <cp:revision>7</cp:revision>
  <dcterms:created xsi:type="dcterms:W3CDTF">2013-08-27T09:33:00Z</dcterms:created>
  <dcterms:modified xsi:type="dcterms:W3CDTF">2013-08-28T11:18:00Z</dcterms:modified>
</cp:coreProperties>
</file>