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E1" w:rsidRDefault="007419E1" w:rsidP="00BE4CF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E4CFE" w:rsidRPr="007419E1" w:rsidRDefault="00CA7FB3" w:rsidP="00BE4CF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419E1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notification</w:t>
      </w:r>
    </w:p>
    <w:p w:rsidR="008364E0" w:rsidRPr="007419E1" w:rsidRDefault="00CA7FB3" w:rsidP="008D7E5D">
      <w:pPr>
        <w:pStyle w:val="a3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proofErr w:type="gramStart"/>
      <w:r w:rsidRPr="007419E1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proofErr w:type="gramEnd"/>
      <w:r w:rsidRPr="007419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disclosure </w:t>
      </w:r>
      <w:r w:rsidRPr="007419E1">
        <w:rPr>
          <w:rFonts w:ascii="Times New Roman" w:hAnsi="Times New Roman" w:cs="Times New Roman"/>
          <w:b/>
          <w:bCs/>
          <w:szCs w:val="24"/>
          <w:lang w:val="en-US"/>
        </w:rPr>
        <w:t xml:space="preserve">of annual consolidated financial statements </w:t>
      </w:r>
      <w:r w:rsidR="008364E0" w:rsidRPr="007419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by the Issuer </w:t>
      </w:r>
      <w:r w:rsidR="008364E0" w:rsidRPr="007419E1">
        <w:rPr>
          <w:rFonts w:ascii="Times New Roman" w:hAnsi="Times New Roman" w:cs="Times New Roman"/>
          <w:b/>
          <w:bCs/>
          <w:szCs w:val="24"/>
          <w:lang w:val="en-US"/>
        </w:rPr>
        <w:t>that are</w:t>
      </w:r>
      <w:r w:rsidRPr="007419E1">
        <w:rPr>
          <w:rFonts w:ascii="Times New Roman" w:hAnsi="Times New Roman" w:cs="Times New Roman"/>
          <w:b/>
          <w:bCs/>
          <w:szCs w:val="24"/>
          <w:lang w:val="en-US"/>
        </w:rPr>
        <w:t xml:space="preserve"> </w:t>
      </w:r>
      <w:r w:rsidR="008364E0" w:rsidRPr="007419E1">
        <w:rPr>
          <w:rFonts w:ascii="Times New Roman" w:hAnsi="Times New Roman" w:cs="Times New Roman"/>
          <w:b/>
          <w:bCs/>
          <w:szCs w:val="24"/>
          <w:lang w:val="en-US"/>
        </w:rPr>
        <w:t xml:space="preserve">prepared in accordance with International Financial Reporting Standards (IFRS) and </w:t>
      </w:r>
      <w:r w:rsidR="008D7E5D" w:rsidRPr="007419E1">
        <w:rPr>
          <w:rFonts w:ascii="Times New Roman" w:hAnsi="Times New Roman" w:cs="Times New Roman"/>
          <w:b/>
          <w:bCs/>
          <w:szCs w:val="24"/>
          <w:lang w:val="en-US"/>
        </w:rPr>
        <w:t xml:space="preserve">submission of audit report that is prepared in  respect of such statements. </w:t>
      </w:r>
    </w:p>
    <w:p w:rsidR="00BE4CFE" w:rsidRPr="007419E1" w:rsidRDefault="00BE4CFE" w:rsidP="00A92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9E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D7E5D" w:rsidRPr="007419E1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 of insider information</w:t>
      </w:r>
      <w:r w:rsidRPr="007419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5226D" w:rsidRPr="007419E1" w:rsidRDefault="0045226D" w:rsidP="00E84FA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4077"/>
        <w:gridCol w:w="6379"/>
      </w:tblGrid>
      <w:tr w:rsidR="007419E1" w:rsidRPr="007419E1" w:rsidTr="00B25563">
        <w:tc>
          <w:tcPr>
            <w:tcW w:w="10456" w:type="dxa"/>
            <w:gridSpan w:val="2"/>
          </w:tcPr>
          <w:p w:rsidR="0045226D" w:rsidRPr="007419E1" w:rsidRDefault="008D7E5D" w:rsidP="0045226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7419E1" w:rsidRPr="00D07D72" w:rsidTr="00B25563">
        <w:tc>
          <w:tcPr>
            <w:tcW w:w="4077" w:type="dxa"/>
          </w:tcPr>
          <w:p w:rsidR="008113CB" w:rsidRPr="007419E1" w:rsidRDefault="008113CB" w:rsidP="001D546A">
            <w:pPr>
              <w:rPr>
                <w:lang w:val="en-US"/>
              </w:rPr>
            </w:pPr>
            <w:r w:rsidRPr="007419E1">
              <w:rPr>
                <w:lang w:val="en-US"/>
              </w:rPr>
              <w:t>1.1  Full corporate name of the issuer</w:t>
            </w:r>
          </w:p>
        </w:tc>
        <w:tc>
          <w:tcPr>
            <w:tcW w:w="6379" w:type="dxa"/>
          </w:tcPr>
          <w:p w:rsidR="008113CB" w:rsidRPr="007419E1" w:rsidRDefault="008113CB" w:rsidP="00DB0952">
            <w:pPr>
              <w:rPr>
                <w:b/>
                <w:i/>
                <w:lang w:val="en-US"/>
              </w:rPr>
            </w:pPr>
            <w:r w:rsidRPr="007419E1">
              <w:rPr>
                <w:b/>
                <w:i/>
                <w:lang w:val="en-US"/>
              </w:rPr>
              <w:t xml:space="preserve">Public Joint Stock Company of Power Industry and Electrification of Kuban </w:t>
            </w:r>
          </w:p>
        </w:tc>
      </w:tr>
      <w:tr w:rsidR="007419E1" w:rsidRPr="007419E1" w:rsidTr="00B25563">
        <w:tc>
          <w:tcPr>
            <w:tcW w:w="4077" w:type="dxa"/>
          </w:tcPr>
          <w:p w:rsidR="008113CB" w:rsidRPr="007419E1" w:rsidRDefault="008113CB" w:rsidP="001D546A">
            <w:pPr>
              <w:rPr>
                <w:lang w:val="en-US"/>
              </w:rPr>
            </w:pPr>
            <w:r w:rsidRPr="007419E1">
              <w:rPr>
                <w:lang w:val="en-US"/>
              </w:rPr>
              <w:t>1.2. Short name of the issuer</w:t>
            </w:r>
          </w:p>
        </w:tc>
        <w:tc>
          <w:tcPr>
            <w:tcW w:w="6379" w:type="dxa"/>
          </w:tcPr>
          <w:p w:rsidR="008113CB" w:rsidRPr="007419E1" w:rsidRDefault="008113CB" w:rsidP="00DB0952">
            <w:pPr>
              <w:rPr>
                <w:b/>
                <w:i/>
              </w:rPr>
            </w:pPr>
            <w:r w:rsidRPr="007419E1">
              <w:rPr>
                <w:b/>
                <w:i/>
              </w:rPr>
              <w:t>PJSC Kubanenergo</w:t>
            </w:r>
          </w:p>
        </w:tc>
      </w:tr>
      <w:tr w:rsidR="007419E1" w:rsidRPr="007419E1" w:rsidTr="00B25563">
        <w:tc>
          <w:tcPr>
            <w:tcW w:w="4077" w:type="dxa"/>
          </w:tcPr>
          <w:p w:rsidR="008113CB" w:rsidRPr="007419E1" w:rsidRDefault="008113CB" w:rsidP="001D546A">
            <w:pPr>
              <w:rPr>
                <w:lang w:val="en-US"/>
              </w:rPr>
            </w:pPr>
            <w:r w:rsidRPr="007419E1">
              <w:rPr>
                <w:lang w:val="en-US"/>
              </w:rPr>
              <w:t>1.3. Registered office of the issuer</w:t>
            </w:r>
          </w:p>
        </w:tc>
        <w:tc>
          <w:tcPr>
            <w:tcW w:w="6379" w:type="dxa"/>
          </w:tcPr>
          <w:p w:rsidR="008113CB" w:rsidRPr="007419E1" w:rsidRDefault="008113CB" w:rsidP="00DB0952">
            <w:pPr>
              <w:rPr>
                <w:b/>
                <w:i/>
              </w:rPr>
            </w:pPr>
            <w:r w:rsidRPr="007419E1">
              <w:rPr>
                <w:b/>
                <w:i/>
                <w:lang w:val="en-US"/>
              </w:rPr>
              <w:t>t</w:t>
            </w:r>
            <w:r w:rsidRPr="007419E1">
              <w:rPr>
                <w:b/>
                <w:i/>
              </w:rPr>
              <w:t>he Russian Federation, Krasnodar</w:t>
            </w:r>
          </w:p>
        </w:tc>
      </w:tr>
      <w:tr w:rsidR="007419E1" w:rsidRPr="007419E1" w:rsidTr="00B25563">
        <w:tc>
          <w:tcPr>
            <w:tcW w:w="4077" w:type="dxa"/>
          </w:tcPr>
          <w:p w:rsidR="008113CB" w:rsidRPr="007419E1" w:rsidRDefault="008113CB" w:rsidP="001D546A">
            <w:r w:rsidRPr="007419E1">
              <w:t>1.4. PSRN of the issuer</w:t>
            </w:r>
          </w:p>
        </w:tc>
        <w:tc>
          <w:tcPr>
            <w:tcW w:w="6379" w:type="dxa"/>
          </w:tcPr>
          <w:p w:rsidR="008113CB" w:rsidRPr="007419E1" w:rsidRDefault="008113CB" w:rsidP="00A3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1022301427268</w:t>
            </w:r>
          </w:p>
        </w:tc>
      </w:tr>
      <w:tr w:rsidR="007419E1" w:rsidRPr="007419E1" w:rsidTr="00B25563">
        <w:tc>
          <w:tcPr>
            <w:tcW w:w="4077" w:type="dxa"/>
          </w:tcPr>
          <w:p w:rsidR="008113CB" w:rsidRPr="007419E1" w:rsidRDefault="008113CB" w:rsidP="001D546A">
            <w:r w:rsidRPr="007419E1">
              <w:t>1.5. TIN of the issuer</w:t>
            </w:r>
          </w:p>
        </w:tc>
        <w:tc>
          <w:tcPr>
            <w:tcW w:w="6379" w:type="dxa"/>
          </w:tcPr>
          <w:p w:rsidR="008113CB" w:rsidRPr="007419E1" w:rsidRDefault="008113CB" w:rsidP="00A3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2309001660</w:t>
            </w:r>
          </w:p>
        </w:tc>
      </w:tr>
      <w:tr w:rsidR="007419E1" w:rsidRPr="007419E1" w:rsidTr="00B25563">
        <w:tc>
          <w:tcPr>
            <w:tcW w:w="4077" w:type="dxa"/>
          </w:tcPr>
          <w:p w:rsidR="008113CB" w:rsidRPr="007419E1" w:rsidRDefault="008113CB" w:rsidP="001D546A">
            <w:pPr>
              <w:rPr>
                <w:lang w:val="en-US"/>
              </w:rPr>
            </w:pPr>
            <w:r w:rsidRPr="007419E1">
              <w:rPr>
                <w:lang w:val="en-US"/>
              </w:rPr>
              <w:t>1.6. Unique code of the issuer assigned by the registration body</w:t>
            </w:r>
          </w:p>
        </w:tc>
        <w:tc>
          <w:tcPr>
            <w:tcW w:w="6379" w:type="dxa"/>
          </w:tcPr>
          <w:p w:rsidR="008113CB" w:rsidRPr="007419E1" w:rsidRDefault="008113CB" w:rsidP="00A32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19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00063-А</w:t>
            </w:r>
          </w:p>
        </w:tc>
      </w:tr>
      <w:tr w:rsidR="007419E1" w:rsidRPr="00D07D72" w:rsidTr="00B25563">
        <w:tc>
          <w:tcPr>
            <w:tcW w:w="4077" w:type="dxa"/>
          </w:tcPr>
          <w:p w:rsidR="008113CB" w:rsidRPr="007419E1" w:rsidRDefault="008113CB" w:rsidP="001D546A">
            <w:pPr>
              <w:rPr>
                <w:lang w:val="en-US"/>
              </w:rPr>
            </w:pPr>
            <w:r w:rsidRPr="007419E1">
              <w:rPr>
                <w:lang w:val="en-US"/>
              </w:rPr>
              <w:t>1.7. URL used by the issuer for information disclosure</w:t>
            </w:r>
          </w:p>
        </w:tc>
        <w:tc>
          <w:tcPr>
            <w:tcW w:w="6379" w:type="dxa"/>
          </w:tcPr>
          <w:p w:rsidR="008113CB" w:rsidRPr="00D07D72" w:rsidRDefault="008113CB" w:rsidP="00905E44">
            <w:pPr>
              <w:pStyle w:val="a3"/>
              <w:rPr>
                <w:sz w:val="24"/>
                <w:szCs w:val="24"/>
                <w:lang w:val="en-US"/>
              </w:rPr>
            </w:pPr>
            <w:r w:rsidRPr="007419E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http</w:t>
            </w:r>
            <w:r w:rsidRPr="00D07D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://</w:t>
            </w:r>
            <w:hyperlink r:id="rId6" w:history="1">
              <w:r w:rsidRPr="007419E1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www</w:t>
              </w:r>
              <w:r w:rsidRPr="00D07D72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r w:rsidRPr="007419E1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kubanenergo</w:t>
              </w:r>
              <w:r w:rsidRPr="00D07D72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.</w:t>
              </w:r>
              <w:r w:rsidRPr="007419E1">
                <w:rPr>
                  <w:rFonts w:ascii="Times New Roman" w:hAnsi="Times New Roman" w:cs="Times New Roman"/>
                  <w:b/>
                  <w:i/>
                  <w:sz w:val="24"/>
                  <w:szCs w:val="24"/>
                  <w:lang w:val="en-US"/>
                </w:rPr>
                <w:t>ru</w:t>
              </w:r>
            </w:hyperlink>
            <w:r w:rsidRPr="00D07D72">
              <w:rPr>
                <w:sz w:val="24"/>
                <w:szCs w:val="24"/>
                <w:lang w:val="en-US"/>
              </w:rPr>
              <w:t>,</w:t>
            </w:r>
          </w:p>
          <w:p w:rsidR="008113CB" w:rsidRPr="00D07D72" w:rsidRDefault="008113CB" w:rsidP="00906DB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07D7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http://www.e-disclosure.ru/portal/company.aspx?id=2827</w:t>
            </w:r>
          </w:p>
          <w:p w:rsidR="008113CB" w:rsidRPr="00D07D72" w:rsidRDefault="008113CB" w:rsidP="00905E4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7419E1" w:rsidRPr="007419E1" w:rsidTr="00B25563">
        <w:tc>
          <w:tcPr>
            <w:tcW w:w="4077" w:type="dxa"/>
          </w:tcPr>
          <w:p w:rsidR="008113CB" w:rsidRPr="007419E1" w:rsidRDefault="008113CB" w:rsidP="001D546A">
            <w:pPr>
              <w:rPr>
                <w:lang w:val="en-US"/>
              </w:rPr>
            </w:pPr>
            <w:r w:rsidRPr="007419E1">
              <w:rPr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379" w:type="dxa"/>
          </w:tcPr>
          <w:p w:rsidR="008113CB" w:rsidRPr="007419E1" w:rsidRDefault="008113CB" w:rsidP="0067086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419E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March 13, </w:t>
            </w:r>
            <w:r w:rsidRPr="007419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Pr="007419E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</w:t>
            </w:r>
          </w:p>
        </w:tc>
      </w:tr>
      <w:tr w:rsidR="007419E1" w:rsidRPr="007419E1" w:rsidTr="00B25563">
        <w:tc>
          <w:tcPr>
            <w:tcW w:w="10456" w:type="dxa"/>
            <w:gridSpan w:val="2"/>
          </w:tcPr>
          <w:p w:rsidR="00B96624" w:rsidRPr="007419E1" w:rsidRDefault="00B96624" w:rsidP="008D7E5D">
            <w:pPr>
              <w:jc w:val="center"/>
              <w:rPr>
                <w:lang w:val="en-US"/>
              </w:rPr>
            </w:pPr>
            <w:r w:rsidRPr="007419E1">
              <w:t xml:space="preserve">2. </w:t>
            </w:r>
            <w:r w:rsidR="008D7E5D" w:rsidRPr="007419E1">
              <w:rPr>
                <w:lang w:val="en-US"/>
              </w:rPr>
              <w:t>Notification content</w:t>
            </w:r>
          </w:p>
        </w:tc>
      </w:tr>
      <w:tr w:rsidR="007419E1" w:rsidRPr="00D07D72" w:rsidTr="00B25563">
        <w:tc>
          <w:tcPr>
            <w:tcW w:w="10456" w:type="dxa"/>
            <w:gridSpan w:val="2"/>
          </w:tcPr>
          <w:p w:rsidR="008D7E5D" w:rsidRPr="007419E1" w:rsidRDefault="00D64F2E" w:rsidP="00ED58A4">
            <w:pPr>
              <w:adjustRightInd w:val="0"/>
              <w:jc w:val="both"/>
              <w:outlineLvl w:val="2"/>
              <w:rPr>
                <w:rFonts w:eastAsiaTheme="minorHAnsi"/>
                <w:bCs/>
                <w:lang w:val="en-US" w:eastAsia="en-US"/>
              </w:rPr>
            </w:pPr>
            <w:r w:rsidRPr="007419E1">
              <w:rPr>
                <w:rFonts w:eastAsiaTheme="minorHAnsi"/>
                <w:bCs/>
                <w:lang w:val="en-US" w:eastAsia="en-US"/>
              </w:rPr>
              <w:t xml:space="preserve">2.1. </w:t>
            </w:r>
            <w:r w:rsidR="008D7E5D" w:rsidRPr="007419E1">
              <w:rPr>
                <w:rFonts w:eastAsiaTheme="minorHAnsi"/>
                <w:bCs/>
                <w:lang w:val="en-US" w:eastAsia="en-US"/>
              </w:rPr>
              <w:t xml:space="preserve">Type of consolidated financial statements of the Issuer (interim or annual): </w:t>
            </w:r>
            <w:r w:rsidR="008D7E5D" w:rsidRPr="007419E1">
              <w:rPr>
                <w:rFonts w:eastAsiaTheme="minorHAnsi"/>
                <w:b/>
                <w:bCs/>
                <w:i/>
                <w:lang w:val="en-US" w:eastAsia="en-US"/>
              </w:rPr>
              <w:t>annual</w:t>
            </w:r>
            <w:r w:rsidR="008D7E5D" w:rsidRPr="007419E1">
              <w:rPr>
                <w:rFonts w:eastAsiaTheme="minorHAnsi"/>
                <w:bCs/>
                <w:lang w:val="en-US" w:eastAsia="en-US"/>
              </w:rPr>
              <w:t>;</w:t>
            </w:r>
          </w:p>
          <w:p w:rsidR="00BD21FB" w:rsidRPr="007419E1" w:rsidRDefault="00D64F2E" w:rsidP="00ED58A4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i/>
                <w:lang w:val="en-US" w:eastAsia="en-US"/>
              </w:rPr>
            </w:pPr>
            <w:r w:rsidRPr="007419E1">
              <w:rPr>
                <w:rFonts w:eastAsiaTheme="minorHAnsi"/>
                <w:bCs/>
                <w:lang w:val="en-US" w:eastAsia="en-US"/>
              </w:rPr>
              <w:t xml:space="preserve">2.2. </w:t>
            </w:r>
            <w:r w:rsidR="00BD21FB" w:rsidRPr="007419E1">
              <w:rPr>
                <w:rFonts w:eastAsiaTheme="minorHAnsi"/>
                <w:bCs/>
                <w:lang w:val="en-US" w:eastAsia="en-US"/>
              </w:rPr>
              <w:t xml:space="preserve">The reporting period for which the consolidated financial statements of the Issuer </w:t>
            </w:r>
            <w:r w:rsidR="00D07D72">
              <w:rPr>
                <w:rFonts w:eastAsiaTheme="minorHAnsi"/>
                <w:bCs/>
                <w:lang w:val="en-US" w:eastAsia="en-US"/>
              </w:rPr>
              <w:t>are</w:t>
            </w:r>
            <w:r w:rsidR="00BD21FB" w:rsidRPr="007419E1">
              <w:rPr>
                <w:rFonts w:eastAsiaTheme="minorHAnsi"/>
                <w:bCs/>
                <w:lang w:val="en-US" w:eastAsia="en-US"/>
              </w:rPr>
              <w:t xml:space="preserve"> drawn up: </w:t>
            </w:r>
            <w:r w:rsidR="00BD21FB" w:rsidRPr="007419E1">
              <w:rPr>
                <w:rFonts w:eastAsiaTheme="minorHAnsi"/>
                <w:b/>
                <w:bCs/>
                <w:i/>
                <w:lang w:val="en-US" w:eastAsia="en-US"/>
              </w:rPr>
              <w:t>for the year ended on December 31, 2019;</w:t>
            </w:r>
          </w:p>
          <w:p w:rsidR="00BD21FB" w:rsidRPr="007419E1" w:rsidRDefault="00ED58A4" w:rsidP="00ED58A4">
            <w:pPr>
              <w:adjustRightInd w:val="0"/>
              <w:jc w:val="both"/>
              <w:rPr>
                <w:rFonts w:eastAsiaTheme="minorHAnsi"/>
                <w:bCs/>
                <w:lang w:val="en-US" w:eastAsia="en-US"/>
              </w:rPr>
            </w:pPr>
            <w:r w:rsidRPr="007419E1">
              <w:rPr>
                <w:rFonts w:eastAsiaTheme="minorHAnsi"/>
                <w:bCs/>
                <w:lang w:val="en-US" w:eastAsia="en-US"/>
              </w:rPr>
              <w:t xml:space="preserve">2.3. </w:t>
            </w:r>
            <w:r w:rsidR="00BD21FB" w:rsidRPr="007419E1">
              <w:rPr>
                <w:rFonts w:eastAsiaTheme="minorHAnsi"/>
                <w:bCs/>
                <w:lang w:val="en-US" w:eastAsia="en-US"/>
              </w:rPr>
              <w:t xml:space="preserve">Date of drawing up the consolidated financial statements of the Issuer: </w:t>
            </w:r>
            <w:r w:rsidR="00BD21FB" w:rsidRPr="007419E1">
              <w:rPr>
                <w:rFonts w:eastAsiaTheme="minorHAnsi"/>
                <w:b/>
                <w:bCs/>
                <w:i/>
                <w:lang w:val="en-US" w:eastAsia="en-US"/>
              </w:rPr>
              <w:t>March 13, 2020;</w:t>
            </w:r>
          </w:p>
          <w:p w:rsidR="00BD21FB" w:rsidRPr="007419E1" w:rsidRDefault="00D64F2E" w:rsidP="00ED58A4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i/>
                <w:lang w:val="en-US" w:eastAsia="en-US"/>
              </w:rPr>
            </w:pPr>
            <w:r w:rsidRPr="007419E1">
              <w:rPr>
                <w:rFonts w:eastAsiaTheme="minorHAnsi"/>
                <w:bCs/>
                <w:lang w:val="en-US" w:eastAsia="en-US"/>
              </w:rPr>
              <w:t>2.</w:t>
            </w:r>
            <w:r w:rsidR="00ED58A4" w:rsidRPr="007419E1">
              <w:rPr>
                <w:rFonts w:eastAsiaTheme="minorHAnsi"/>
                <w:bCs/>
                <w:lang w:val="en-US" w:eastAsia="en-US"/>
              </w:rPr>
              <w:t>4</w:t>
            </w:r>
            <w:r w:rsidRPr="007419E1">
              <w:rPr>
                <w:rFonts w:eastAsiaTheme="minorHAnsi"/>
                <w:bCs/>
                <w:lang w:val="en-US" w:eastAsia="en-US"/>
              </w:rPr>
              <w:t xml:space="preserve">. </w:t>
            </w:r>
            <w:r w:rsidR="00AD52FB" w:rsidRPr="007419E1">
              <w:rPr>
                <w:rFonts w:eastAsiaTheme="minorHAnsi"/>
                <w:bCs/>
                <w:lang w:val="en-US" w:eastAsia="en-US"/>
              </w:rPr>
              <w:t xml:space="preserve">Accounting Standards (Financial Reporting Standards) according to which the consolidated financial statements </w:t>
            </w:r>
            <w:r w:rsidR="00D07D72">
              <w:rPr>
                <w:rFonts w:eastAsiaTheme="minorHAnsi"/>
                <w:bCs/>
                <w:lang w:val="en-US" w:eastAsia="en-US"/>
              </w:rPr>
              <w:t xml:space="preserve">are </w:t>
            </w:r>
            <w:r w:rsidR="00AD52FB" w:rsidRPr="007419E1">
              <w:rPr>
                <w:rFonts w:eastAsiaTheme="minorHAnsi"/>
                <w:bCs/>
                <w:lang w:val="en-US" w:eastAsia="en-US"/>
              </w:rPr>
              <w:t>drawn up (</w:t>
            </w:r>
            <w:r w:rsidR="00AD52FB" w:rsidRPr="007419E1">
              <w:rPr>
                <w:bCs/>
                <w:lang w:val="en-US"/>
              </w:rPr>
              <w:t xml:space="preserve">International Financial Reporting Standards (IFRS); Generally Accepted Accounting Principles in the United States </w:t>
            </w:r>
            <w:r w:rsidR="007B02CA" w:rsidRPr="007419E1">
              <w:rPr>
                <w:bCs/>
                <w:lang w:val="en-US"/>
              </w:rPr>
              <w:t>(U.S. GAAP); other standards</w:t>
            </w:r>
            <w:r w:rsidR="007B02CA" w:rsidRPr="007419E1">
              <w:rPr>
                <w:b/>
                <w:bCs/>
                <w:i/>
                <w:lang w:val="en-US"/>
              </w:rPr>
              <w:t>): International Financial Reporting Standards (IFRS);</w:t>
            </w:r>
          </w:p>
          <w:p w:rsidR="00D64F2E" w:rsidRPr="007419E1" w:rsidRDefault="00D64F2E" w:rsidP="00ED58A4">
            <w:pPr>
              <w:adjustRightInd w:val="0"/>
              <w:jc w:val="both"/>
              <w:outlineLvl w:val="2"/>
              <w:rPr>
                <w:rFonts w:eastAsiaTheme="minorHAnsi"/>
                <w:bCs/>
                <w:lang w:val="en-US" w:eastAsia="en-US"/>
              </w:rPr>
            </w:pPr>
            <w:r w:rsidRPr="007419E1">
              <w:rPr>
                <w:rFonts w:eastAsiaTheme="minorHAnsi"/>
                <w:bCs/>
                <w:lang w:val="en-US" w:eastAsia="en-US"/>
              </w:rPr>
              <w:t>2.</w:t>
            </w:r>
            <w:r w:rsidR="00ED58A4" w:rsidRPr="007419E1">
              <w:rPr>
                <w:rFonts w:eastAsiaTheme="minorHAnsi"/>
                <w:bCs/>
                <w:lang w:val="en-US" w:eastAsia="en-US"/>
              </w:rPr>
              <w:t>5</w:t>
            </w:r>
            <w:r w:rsidRPr="007419E1">
              <w:rPr>
                <w:rFonts w:eastAsiaTheme="minorHAnsi"/>
                <w:bCs/>
                <w:lang w:val="en-US" w:eastAsia="en-US"/>
              </w:rPr>
              <w:t xml:space="preserve">. </w:t>
            </w:r>
            <w:r w:rsidR="007B02CA" w:rsidRPr="007419E1">
              <w:rPr>
                <w:rFonts w:eastAsiaTheme="minorHAnsi"/>
                <w:bCs/>
                <w:lang w:val="en-US" w:eastAsia="en-US"/>
              </w:rPr>
              <w:t>Information on the auditor (audit organization)</w:t>
            </w:r>
            <w:r w:rsidR="006E51FC" w:rsidRPr="007419E1">
              <w:rPr>
                <w:rFonts w:eastAsiaTheme="minorHAnsi"/>
                <w:bCs/>
                <w:lang w:val="en-US" w:eastAsia="en-US"/>
              </w:rPr>
              <w:t xml:space="preserve"> that prepared the audit report</w:t>
            </w:r>
            <w:r w:rsidR="007C3012" w:rsidRPr="007419E1">
              <w:rPr>
                <w:rFonts w:eastAsiaTheme="minorHAnsi"/>
                <w:bCs/>
                <w:lang w:val="en-US" w:eastAsia="en-US"/>
              </w:rPr>
              <w:t xml:space="preserve"> or other document, made up as a result of the audit of consolidated financial statements of the issuer in accordance with the Auditing Standards (</w:t>
            </w:r>
            <w:r w:rsidR="00B00862" w:rsidRPr="007419E1">
              <w:rPr>
                <w:rFonts w:eastAsiaTheme="minorHAnsi"/>
                <w:bCs/>
                <w:lang w:val="en-US" w:eastAsia="en-US"/>
              </w:rPr>
              <w:t>surname, first name, patronymic (if any) of the auditor or full corporate name, registered office, TIN (if applicable), PSRN</w:t>
            </w:r>
            <w:r w:rsidR="00B00862" w:rsidRPr="007419E1">
              <w:rPr>
                <w:rFonts w:eastAsiaTheme="minorHAnsi"/>
                <w:bCs/>
                <w:iCs/>
                <w:lang w:val="en-US" w:eastAsia="en-US"/>
              </w:rPr>
              <w:t xml:space="preserve"> (if applicable) of the</w:t>
            </w:r>
            <w:r w:rsidR="00B00862" w:rsidRPr="007419E1">
              <w:rPr>
                <w:lang w:val="en-US"/>
              </w:rPr>
              <w:t xml:space="preserve"> </w:t>
            </w:r>
            <w:r w:rsidR="00B00862" w:rsidRPr="007419E1">
              <w:rPr>
                <w:rFonts w:eastAsiaTheme="minorHAnsi"/>
                <w:bCs/>
                <w:iCs/>
                <w:lang w:val="en-US" w:eastAsia="en-US"/>
              </w:rPr>
              <w:t xml:space="preserve">audit organization), or </w:t>
            </w:r>
            <w:r w:rsidR="00355E6B" w:rsidRPr="007419E1">
              <w:rPr>
                <w:rFonts w:eastAsiaTheme="minorHAnsi"/>
                <w:bCs/>
                <w:iCs/>
                <w:lang w:val="en-US" w:eastAsia="en-US"/>
              </w:rPr>
              <w:t>a statement to the effect that</w:t>
            </w:r>
            <w:r w:rsidR="00F719A5" w:rsidRPr="007419E1">
              <w:rPr>
                <w:rFonts w:eastAsiaTheme="minorHAnsi"/>
                <w:bCs/>
                <w:iCs/>
                <w:lang w:val="en-US" w:eastAsia="en-US"/>
              </w:rPr>
              <w:t xml:space="preserve"> </w:t>
            </w:r>
            <w:r w:rsidR="00355E6B" w:rsidRPr="007419E1">
              <w:rPr>
                <w:rFonts w:eastAsiaTheme="minorHAnsi"/>
                <w:bCs/>
                <w:iCs/>
                <w:lang w:val="en-US" w:eastAsia="en-US"/>
              </w:rPr>
              <w:t>consolidated financial statements of the issuer have not been audited or examined in accordance with</w:t>
            </w:r>
            <w:r w:rsidR="00355E6B" w:rsidRPr="007419E1">
              <w:rPr>
                <w:lang w:val="en-US"/>
              </w:rPr>
              <w:t xml:space="preserve"> </w:t>
            </w:r>
            <w:r w:rsidR="00355E6B" w:rsidRPr="007419E1">
              <w:rPr>
                <w:rFonts w:eastAsiaTheme="minorHAnsi"/>
                <w:bCs/>
                <w:iCs/>
                <w:lang w:val="en-US" w:eastAsia="en-US"/>
              </w:rPr>
              <w:t xml:space="preserve">the Auditing Standards: </w:t>
            </w:r>
          </w:p>
          <w:p w:rsidR="00F719A5" w:rsidRPr="007419E1" w:rsidRDefault="00F719A5" w:rsidP="00ED58A4">
            <w:pPr>
              <w:adjustRightInd w:val="0"/>
              <w:jc w:val="both"/>
              <w:outlineLvl w:val="2"/>
              <w:rPr>
                <w:b/>
                <w:bCs/>
                <w:i/>
                <w:sz w:val="22"/>
                <w:szCs w:val="22"/>
                <w:lang w:val="en-US"/>
              </w:rPr>
            </w:pPr>
            <w:r w:rsidRPr="007419E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Full corporate name</w:t>
            </w:r>
            <w:r w:rsidR="00D64F2E" w:rsidRPr="007419E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: </w:t>
            </w:r>
            <w:r w:rsidRPr="007419E1">
              <w:rPr>
                <w:b/>
                <w:bCs/>
                <w:i/>
                <w:sz w:val="22"/>
                <w:szCs w:val="22"/>
                <w:lang w:val="en-US"/>
              </w:rPr>
              <w:t xml:space="preserve">Limited Liability Company Ernst &amp; Young  </w:t>
            </w:r>
          </w:p>
          <w:p w:rsidR="00D64F2E" w:rsidRPr="007419E1" w:rsidRDefault="00F719A5" w:rsidP="00ED58A4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7419E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Legal address</w:t>
            </w:r>
            <w:r w:rsidR="00D64F2E" w:rsidRPr="007419E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: </w:t>
            </w:r>
            <w:r w:rsidR="00D33EAB" w:rsidRPr="007419E1">
              <w:rPr>
                <w:b/>
                <w:i/>
                <w:sz w:val="22"/>
                <w:szCs w:val="22"/>
                <w:lang w:val="en-US"/>
              </w:rPr>
              <w:t xml:space="preserve">115035, </w:t>
            </w:r>
            <w:r w:rsidRPr="007419E1">
              <w:rPr>
                <w:b/>
                <w:i/>
                <w:sz w:val="22"/>
                <w:szCs w:val="22"/>
                <w:lang w:val="en-US"/>
              </w:rPr>
              <w:t>Russia</w:t>
            </w:r>
            <w:r w:rsidR="00D33EAB" w:rsidRPr="007419E1">
              <w:rPr>
                <w:b/>
                <w:i/>
                <w:sz w:val="22"/>
                <w:szCs w:val="22"/>
                <w:lang w:val="en-US"/>
              </w:rPr>
              <w:t xml:space="preserve">, </w:t>
            </w:r>
            <w:r w:rsidRPr="007419E1">
              <w:rPr>
                <w:b/>
                <w:i/>
                <w:sz w:val="22"/>
                <w:szCs w:val="22"/>
                <w:lang w:val="en-US"/>
              </w:rPr>
              <w:t>Moscow</w:t>
            </w:r>
            <w:r w:rsidR="00D33EAB" w:rsidRPr="007419E1">
              <w:rPr>
                <w:b/>
                <w:i/>
                <w:sz w:val="22"/>
                <w:szCs w:val="22"/>
                <w:lang w:val="en-US"/>
              </w:rPr>
              <w:t xml:space="preserve">, </w:t>
            </w:r>
            <w:r w:rsidRPr="007419E1">
              <w:rPr>
                <w:b/>
                <w:i/>
                <w:sz w:val="22"/>
                <w:szCs w:val="22"/>
                <w:lang w:val="en-US"/>
              </w:rPr>
              <w:t xml:space="preserve">77 </w:t>
            </w:r>
            <w:proofErr w:type="spellStart"/>
            <w:r w:rsidRPr="007419E1">
              <w:rPr>
                <w:b/>
                <w:i/>
                <w:sz w:val="22"/>
                <w:szCs w:val="22"/>
                <w:lang w:val="en-US"/>
              </w:rPr>
              <w:t>Sadovnicheskaya</w:t>
            </w:r>
            <w:proofErr w:type="spellEnd"/>
            <w:r w:rsidR="00D33EAB" w:rsidRPr="007419E1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19E1">
              <w:rPr>
                <w:b/>
                <w:i/>
                <w:sz w:val="22"/>
                <w:szCs w:val="22"/>
                <w:lang w:val="en-US"/>
              </w:rPr>
              <w:t>naberezhnaya</w:t>
            </w:r>
            <w:proofErr w:type="spellEnd"/>
            <w:r w:rsidR="00D33EAB" w:rsidRPr="007419E1">
              <w:rPr>
                <w:b/>
                <w:i/>
                <w:sz w:val="22"/>
                <w:szCs w:val="22"/>
                <w:lang w:val="en-US"/>
              </w:rPr>
              <w:t xml:space="preserve">, </w:t>
            </w:r>
            <w:r w:rsidRPr="007419E1">
              <w:rPr>
                <w:b/>
                <w:i/>
                <w:sz w:val="22"/>
                <w:szCs w:val="22"/>
                <w:lang w:val="en-US"/>
              </w:rPr>
              <w:t xml:space="preserve">building </w:t>
            </w:r>
            <w:r w:rsidR="00D33EAB" w:rsidRPr="007419E1">
              <w:rPr>
                <w:b/>
                <w:i/>
                <w:sz w:val="22"/>
                <w:szCs w:val="22"/>
                <w:lang w:val="en-US"/>
              </w:rPr>
              <w:t>1 </w:t>
            </w:r>
          </w:p>
          <w:p w:rsidR="00D64F2E" w:rsidRPr="007419E1" w:rsidRDefault="00F719A5" w:rsidP="00ED58A4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7419E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Registered office</w:t>
            </w:r>
            <w:r w:rsidR="00D64F2E" w:rsidRPr="007419E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: </w:t>
            </w:r>
            <w:r w:rsidR="00D33EAB" w:rsidRPr="007419E1">
              <w:rPr>
                <w:b/>
                <w:i/>
                <w:sz w:val="22"/>
                <w:szCs w:val="22"/>
                <w:lang w:val="en-US"/>
              </w:rPr>
              <w:t xml:space="preserve">115035, </w:t>
            </w:r>
            <w:r w:rsidRPr="007419E1">
              <w:rPr>
                <w:b/>
                <w:i/>
                <w:sz w:val="22"/>
                <w:szCs w:val="22"/>
                <w:lang w:val="en-US"/>
              </w:rPr>
              <w:t>Russia, Moscow</w:t>
            </w:r>
            <w:r w:rsidR="00D33EAB" w:rsidRPr="007419E1">
              <w:rPr>
                <w:b/>
                <w:i/>
                <w:sz w:val="22"/>
                <w:szCs w:val="22"/>
                <w:lang w:val="en-US"/>
              </w:rPr>
              <w:t xml:space="preserve">, </w:t>
            </w:r>
            <w:r w:rsidRPr="007419E1">
              <w:rPr>
                <w:b/>
                <w:i/>
                <w:sz w:val="22"/>
                <w:szCs w:val="22"/>
                <w:lang w:val="en-US"/>
              </w:rPr>
              <w:t xml:space="preserve">77 </w:t>
            </w:r>
            <w:proofErr w:type="spellStart"/>
            <w:r w:rsidRPr="007419E1">
              <w:rPr>
                <w:b/>
                <w:i/>
                <w:sz w:val="22"/>
                <w:szCs w:val="22"/>
                <w:lang w:val="en-US"/>
              </w:rPr>
              <w:t>Sadovnicheskaya</w:t>
            </w:r>
            <w:proofErr w:type="spellEnd"/>
            <w:r w:rsidRPr="007419E1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19E1">
              <w:rPr>
                <w:b/>
                <w:i/>
                <w:sz w:val="22"/>
                <w:szCs w:val="22"/>
                <w:lang w:val="en-US"/>
              </w:rPr>
              <w:t>naberezhnaya</w:t>
            </w:r>
            <w:proofErr w:type="spellEnd"/>
            <w:r w:rsidRPr="007419E1">
              <w:rPr>
                <w:b/>
                <w:i/>
                <w:sz w:val="22"/>
                <w:szCs w:val="22"/>
                <w:lang w:val="en-US"/>
              </w:rPr>
              <w:t>, building 1 </w:t>
            </w:r>
          </w:p>
          <w:p w:rsidR="00D64F2E" w:rsidRPr="007419E1" w:rsidRDefault="00F719A5" w:rsidP="00ED58A4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7419E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TIN</w:t>
            </w:r>
            <w:r w:rsidR="00D64F2E" w:rsidRPr="007419E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: </w:t>
            </w:r>
            <w:r w:rsidR="00D33EAB" w:rsidRPr="007419E1">
              <w:rPr>
                <w:b/>
                <w:i/>
                <w:sz w:val="22"/>
                <w:szCs w:val="22"/>
                <w:lang w:val="en-US"/>
              </w:rPr>
              <w:t>7709383532</w:t>
            </w:r>
          </w:p>
          <w:p w:rsidR="00D64F2E" w:rsidRPr="007419E1" w:rsidRDefault="00F719A5" w:rsidP="00ED58A4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7419E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PSRN</w:t>
            </w:r>
            <w:r w:rsidR="00D64F2E" w:rsidRPr="007419E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: </w:t>
            </w:r>
            <w:r w:rsidR="00D33EAB" w:rsidRPr="007419E1">
              <w:rPr>
                <w:b/>
                <w:i/>
                <w:sz w:val="22"/>
                <w:szCs w:val="22"/>
                <w:lang w:val="en-US"/>
              </w:rPr>
              <w:t>1027739707203</w:t>
            </w:r>
            <w:r w:rsidR="00D64F2E" w:rsidRPr="007419E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;</w:t>
            </w:r>
          </w:p>
          <w:p w:rsidR="00F719A5" w:rsidRPr="007419E1" w:rsidRDefault="00785493" w:rsidP="00ED58A4">
            <w:pPr>
              <w:adjustRightInd w:val="0"/>
              <w:jc w:val="both"/>
              <w:outlineLvl w:val="2"/>
              <w:rPr>
                <w:rFonts w:eastAsiaTheme="minorHAnsi"/>
                <w:bCs/>
                <w:lang w:val="en-US" w:eastAsia="en-US"/>
              </w:rPr>
            </w:pPr>
            <w:r w:rsidRPr="007419E1">
              <w:rPr>
                <w:rFonts w:eastAsiaTheme="minorHAnsi"/>
                <w:bCs/>
                <w:lang w:val="en-US" w:eastAsia="en-US"/>
              </w:rPr>
              <w:t>2.</w:t>
            </w:r>
            <w:r w:rsidR="00ED58A4" w:rsidRPr="007419E1">
              <w:rPr>
                <w:rFonts w:eastAsiaTheme="minorHAnsi"/>
                <w:bCs/>
                <w:lang w:val="en-US" w:eastAsia="en-US"/>
              </w:rPr>
              <w:t>6</w:t>
            </w:r>
            <w:r w:rsidRPr="007419E1">
              <w:rPr>
                <w:rFonts w:eastAsiaTheme="minorHAnsi"/>
                <w:bCs/>
                <w:lang w:val="en-US" w:eastAsia="en-US"/>
              </w:rPr>
              <w:t xml:space="preserve">. </w:t>
            </w:r>
            <w:r w:rsidR="00F719A5" w:rsidRPr="007419E1">
              <w:rPr>
                <w:rFonts w:eastAsiaTheme="minorHAnsi"/>
                <w:bCs/>
                <w:lang w:val="en-US" w:eastAsia="en-US"/>
              </w:rPr>
              <w:t xml:space="preserve">Web page address where the </w:t>
            </w:r>
            <w:r w:rsidR="00F719A5" w:rsidRPr="007419E1">
              <w:rPr>
                <w:rFonts w:eastAsiaTheme="minorHAnsi"/>
                <w:bCs/>
                <w:iCs/>
                <w:lang w:val="en-US" w:eastAsia="en-US"/>
              </w:rPr>
              <w:t>consolidated financial statements</w:t>
            </w:r>
            <w:r w:rsidR="00F719A5" w:rsidRPr="007419E1">
              <w:rPr>
                <w:rFonts w:eastAsiaTheme="minorHAnsi"/>
                <w:bCs/>
                <w:lang w:val="en-US" w:eastAsia="en-US"/>
              </w:rPr>
              <w:t xml:space="preserve"> were published by the Issuer and the</w:t>
            </w:r>
            <w:r w:rsidR="009C3FB1" w:rsidRPr="007419E1">
              <w:rPr>
                <w:rFonts w:eastAsiaTheme="minorHAnsi"/>
                <w:bCs/>
                <w:lang w:val="en-US" w:eastAsia="en-US"/>
              </w:rPr>
              <w:t xml:space="preserve"> audit report or other document, made up as a result of the audit of such statements in accordance with the Auditing Standards:</w:t>
            </w:r>
            <w:r w:rsidR="00F719A5" w:rsidRPr="007419E1">
              <w:rPr>
                <w:rFonts w:eastAsiaTheme="minorHAnsi"/>
                <w:bCs/>
                <w:lang w:val="en-US" w:eastAsia="en-US"/>
              </w:rPr>
              <w:t xml:space="preserve"> </w:t>
            </w:r>
          </w:p>
          <w:p w:rsidR="005F04D2" w:rsidRPr="007419E1" w:rsidRDefault="00F3093E" w:rsidP="00ED58A4">
            <w:pPr>
              <w:adjustRightInd w:val="0"/>
              <w:jc w:val="both"/>
              <w:outlineLvl w:val="2"/>
              <w:rPr>
                <w:b/>
                <w:i/>
                <w:lang w:val="en-US"/>
              </w:rPr>
            </w:pPr>
            <w:r w:rsidRPr="007419E1">
              <w:rPr>
                <w:rFonts w:eastAsiaTheme="minorHAnsi"/>
                <w:b/>
                <w:i/>
                <w:lang w:val="en-US" w:eastAsia="en-US"/>
              </w:rPr>
              <w:t>http://kubanenergo.ru/aktsioneram-i-investoram/raskrytie-informatsii/finansovaya-informatsiya-i-otchetnost/</w:t>
            </w:r>
            <w:r w:rsidR="005F04D2" w:rsidRPr="007419E1">
              <w:rPr>
                <w:rFonts w:eastAsiaTheme="minorHAnsi"/>
                <w:b/>
                <w:i/>
                <w:lang w:val="en-US" w:eastAsia="en-US"/>
              </w:rPr>
              <w:t xml:space="preserve">; </w:t>
            </w:r>
            <w:hyperlink r:id="rId7" w:history="1">
              <w:r w:rsidR="00ED58A4" w:rsidRPr="007419E1">
                <w:rPr>
                  <w:rStyle w:val="a9"/>
                  <w:b/>
                  <w:i/>
                  <w:color w:val="auto"/>
                  <w:lang w:val="en-US"/>
                </w:rPr>
                <w:t>http://www.e-disclosure.ru/portal/company.aspx?id=2827</w:t>
              </w:r>
            </w:hyperlink>
            <w:r w:rsidR="00BE4CFE" w:rsidRPr="007419E1">
              <w:rPr>
                <w:b/>
                <w:i/>
                <w:lang w:val="en-US"/>
              </w:rPr>
              <w:t>;</w:t>
            </w:r>
          </w:p>
          <w:p w:rsidR="00D33565" w:rsidRPr="007419E1" w:rsidRDefault="00ED58A4" w:rsidP="00ED58A4">
            <w:pPr>
              <w:adjustRightInd w:val="0"/>
              <w:jc w:val="both"/>
              <w:rPr>
                <w:rFonts w:eastAsiaTheme="minorHAnsi"/>
                <w:b/>
                <w:bCs/>
                <w:i/>
                <w:iCs/>
                <w:lang w:val="en-US" w:eastAsia="en-US"/>
              </w:rPr>
            </w:pPr>
            <w:r w:rsidRPr="007419E1">
              <w:rPr>
                <w:rFonts w:eastAsiaTheme="minorHAnsi"/>
                <w:bCs/>
                <w:iCs/>
                <w:lang w:val="en-US" w:eastAsia="en-US"/>
              </w:rPr>
              <w:t>2.7.</w:t>
            </w:r>
            <w:r w:rsidRPr="007419E1">
              <w:rPr>
                <w:rFonts w:eastAsiaTheme="minorHAnsi"/>
                <w:b/>
                <w:bCs/>
                <w:i/>
                <w:iCs/>
                <w:lang w:val="en-US" w:eastAsia="en-US"/>
              </w:rPr>
              <w:t xml:space="preserve"> </w:t>
            </w:r>
            <w:r w:rsidR="00D33565" w:rsidRPr="007419E1">
              <w:rPr>
                <w:rFonts w:eastAsiaTheme="minorHAnsi"/>
                <w:bCs/>
                <w:lang w:val="en-US" w:eastAsia="en-US"/>
              </w:rPr>
              <w:t xml:space="preserve">Date of drawing up the audit report or other document, made up as a result of the audit of consolidated financial statements of the issuer in accordance with the Auditing Standards: </w:t>
            </w:r>
            <w:r w:rsidR="00D33565" w:rsidRPr="007419E1">
              <w:rPr>
                <w:rFonts w:eastAsiaTheme="minorHAnsi"/>
                <w:b/>
                <w:bCs/>
                <w:i/>
                <w:lang w:val="en-US" w:eastAsia="en-US"/>
              </w:rPr>
              <w:t>March 13, 2020</w:t>
            </w:r>
            <w:r w:rsidR="00D33565" w:rsidRPr="007419E1">
              <w:rPr>
                <w:rFonts w:eastAsiaTheme="minorHAnsi"/>
                <w:bCs/>
                <w:lang w:val="en-US" w:eastAsia="en-US"/>
              </w:rPr>
              <w:t xml:space="preserve"> </w:t>
            </w:r>
          </w:p>
          <w:p w:rsidR="00ED58A4" w:rsidRPr="007419E1" w:rsidRDefault="00785493" w:rsidP="008113CB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i/>
                <w:lang w:val="en-US" w:eastAsia="en-US"/>
              </w:rPr>
            </w:pPr>
            <w:r w:rsidRPr="007419E1">
              <w:rPr>
                <w:rFonts w:eastAsiaTheme="minorHAnsi"/>
                <w:bCs/>
                <w:lang w:val="en-US" w:eastAsia="en-US"/>
              </w:rPr>
              <w:t>2.</w:t>
            </w:r>
            <w:r w:rsidR="00ED58A4" w:rsidRPr="007419E1">
              <w:rPr>
                <w:rFonts w:eastAsiaTheme="minorHAnsi"/>
                <w:bCs/>
                <w:lang w:val="en-US" w:eastAsia="en-US"/>
              </w:rPr>
              <w:t>8</w:t>
            </w:r>
            <w:r w:rsidRPr="007419E1">
              <w:rPr>
                <w:rFonts w:eastAsiaTheme="minorHAnsi"/>
                <w:bCs/>
                <w:lang w:val="en-US" w:eastAsia="en-US"/>
              </w:rPr>
              <w:t xml:space="preserve">. </w:t>
            </w:r>
            <w:r w:rsidR="008113CB" w:rsidRPr="007419E1">
              <w:rPr>
                <w:rFonts w:eastAsiaTheme="minorHAnsi"/>
                <w:bCs/>
                <w:lang w:val="en-US" w:eastAsia="en-US"/>
              </w:rPr>
              <w:t xml:space="preserve">The date when the </w:t>
            </w:r>
            <w:r w:rsidR="008113CB" w:rsidRPr="007419E1">
              <w:rPr>
                <w:rFonts w:eastAsiaTheme="minorHAnsi"/>
                <w:bCs/>
                <w:iCs/>
                <w:lang w:val="en-US" w:eastAsia="en-US"/>
              </w:rPr>
              <w:t>con</w:t>
            </w:r>
            <w:bookmarkStart w:id="0" w:name="_GoBack"/>
            <w:bookmarkEnd w:id="0"/>
            <w:r w:rsidR="008113CB" w:rsidRPr="007419E1">
              <w:rPr>
                <w:rFonts w:eastAsiaTheme="minorHAnsi"/>
                <w:bCs/>
                <w:iCs/>
                <w:lang w:val="en-US" w:eastAsia="en-US"/>
              </w:rPr>
              <w:t>solidated financial statements were published on the web page on the Internet and</w:t>
            </w:r>
            <w:r w:rsidR="008113CB" w:rsidRPr="007419E1">
              <w:rPr>
                <w:rFonts w:eastAsiaTheme="minorHAnsi"/>
                <w:bCs/>
                <w:lang w:val="en-US" w:eastAsia="en-US"/>
              </w:rPr>
              <w:t xml:space="preserve"> the audit report or other document, made up as a result of the audit of such statements in accordance with the Auditing Standards: </w:t>
            </w:r>
            <w:r w:rsidR="008113CB" w:rsidRPr="00DB4864">
              <w:rPr>
                <w:rFonts w:eastAsiaTheme="minorHAnsi"/>
                <w:b/>
                <w:bCs/>
                <w:i/>
                <w:lang w:val="en-US" w:eastAsia="en-US"/>
              </w:rPr>
              <w:t>March</w:t>
            </w:r>
            <w:r w:rsidR="008113CB" w:rsidRPr="007419E1">
              <w:rPr>
                <w:rFonts w:eastAsiaTheme="minorHAnsi"/>
                <w:bCs/>
                <w:lang w:val="en-US" w:eastAsia="en-US"/>
              </w:rPr>
              <w:t xml:space="preserve"> </w:t>
            </w:r>
            <w:r w:rsidR="003A6E97" w:rsidRPr="007419E1">
              <w:rPr>
                <w:rFonts w:eastAsiaTheme="minorHAnsi"/>
                <w:b/>
                <w:bCs/>
                <w:i/>
                <w:lang w:val="en-US" w:eastAsia="en-US"/>
              </w:rPr>
              <w:t>1</w:t>
            </w:r>
            <w:r w:rsidR="003F57CD" w:rsidRPr="007419E1">
              <w:rPr>
                <w:rFonts w:eastAsiaTheme="minorHAnsi"/>
                <w:b/>
                <w:bCs/>
                <w:i/>
                <w:lang w:val="en-US" w:eastAsia="en-US"/>
              </w:rPr>
              <w:t>6</w:t>
            </w:r>
            <w:r w:rsidR="008113CB" w:rsidRPr="007419E1">
              <w:rPr>
                <w:rFonts w:eastAsiaTheme="minorHAnsi"/>
                <w:b/>
                <w:bCs/>
                <w:i/>
                <w:lang w:val="en-US" w:eastAsia="en-US"/>
              </w:rPr>
              <w:t>,</w:t>
            </w:r>
            <w:r w:rsidR="006C386B" w:rsidRPr="007419E1">
              <w:rPr>
                <w:rFonts w:eastAsiaTheme="minorHAnsi"/>
                <w:b/>
                <w:bCs/>
                <w:i/>
                <w:lang w:val="en-US" w:eastAsia="en-US"/>
              </w:rPr>
              <w:t xml:space="preserve"> </w:t>
            </w:r>
            <w:r w:rsidR="005F04D2" w:rsidRPr="007419E1">
              <w:rPr>
                <w:rFonts w:eastAsiaTheme="minorHAnsi"/>
                <w:b/>
                <w:bCs/>
                <w:i/>
                <w:lang w:val="en-US" w:eastAsia="en-US"/>
              </w:rPr>
              <w:t>20</w:t>
            </w:r>
            <w:r w:rsidR="008113CB" w:rsidRPr="007419E1">
              <w:rPr>
                <w:rFonts w:eastAsiaTheme="minorHAnsi"/>
                <w:b/>
                <w:bCs/>
                <w:i/>
                <w:lang w:val="en-US" w:eastAsia="en-US"/>
              </w:rPr>
              <w:t>20</w:t>
            </w:r>
            <w:r w:rsidR="005F04D2" w:rsidRPr="007419E1">
              <w:rPr>
                <w:rFonts w:eastAsiaTheme="minorHAnsi"/>
                <w:b/>
                <w:bCs/>
                <w:i/>
                <w:lang w:val="en-US" w:eastAsia="en-US"/>
              </w:rPr>
              <w:t>.</w:t>
            </w:r>
          </w:p>
          <w:p w:rsidR="007419E1" w:rsidRPr="007419E1" w:rsidRDefault="007419E1" w:rsidP="008113CB">
            <w:pPr>
              <w:adjustRightInd w:val="0"/>
              <w:jc w:val="both"/>
              <w:outlineLvl w:val="2"/>
              <w:rPr>
                <w:rFonts w:eastAsiaTheme="minorHAnsi"/>
                <w:bCs/>
                <w:lang w:val="en-US" w:eastAsia="en-US"/>
              </w:rPr>
            </w:pPr>
          </w:p>
        </w:tc>
      </w:tr>
      <w:tr w:rsidR="007419E1" w:rsidRPr="007419E1" w:rsidTr="00B25563">
        <w:tc>
          <w:tcPr>
            <w:tcW w:w="10456" w:type="dxa"/>
            <w:gridSpan w:val="2"/>
          </w:tcPr>
          <w:p w:rsidR="00E14EDF" w:rsidRPr="007419E1" w:rsidRDefault="00E14EDF" w:rsidP="008113CB">
            <w:pPr>
              <w:pStyle w:val="a3"/>
              <w:ind w:left="3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19E1">
              <w:rPr>
                <w:rFonts w:ascii="Times New Roman" w:hAnsi="Times New Roman" w:cs="Times New Roman"/>
                <w:sz w:val="24"/>
              </w:rPr>
              <w:lastRenderedPageBreak/>
              <w:t xml:space="preserve">3. </w:t>
            </w:r>
            <w:r w:rsidR="008113CB" w:rsidRPr="007419E1">
              <w:rPr>
                <w:rFonts w:ascii="Times New Roman" w:hAnsi="Times New Roman" w:cs="Times New Roman"/>
                <w:sz w:val="24"/>
                <w:lang w:val="en-US"/>
              </w:rPr>
              <w:t>Signature</w:t>
            </w:r>
          </w:p>
        </w:tc>
      </w:tr>
      <w:tr w:rsidR="007419E1" w:rsidRPr="007419E1" w:rsidTr="00B25563">
        <w:tc>
          <w:tcPr>
            <w:tcW w:w="10456" w:type="dxa"/>
            <w:gridSpan w:val="2"/>
          </w:tcPr>
          <w:p w:rsidR="007419E1" w:rsidRPr="007419E1" w:rsidRDefault="00777A04" w:rsidP="007419E1">
            <w:pPr>
              <w:rPr>
                <w:rFonts w:eastAsia="Calibri"/>
                <w:lang w:val="en-US"/>
              </w:rPr>
            </w:pPr>
            <w:r w:rsidRPr="007419E1">
              <w:rPr>
                <w:lang w:val="en-US"/>
              </w:rPr>
              <w:t>3.1.</w:t>
            </w:r>
            <w:r w:rsidR="007419E1" w:rsidRPr="007419E1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="007419E1" w:rsidRPr="007419E1">
              <w:rPr>
                <w:rFonts w:eastAsia="Calibri"/>
                <w:lang w:val="en-US"/>
              </w:rPr>
              <w:t xml:space="preserve">Head of Corporate Management </w:t>
            </w:r>
          </w:p>
          <w:p w:rsidR="00777A04" w:rsidRPr="007419E1" w:rsidRDefault="007419E1" w:rsidP="007419E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4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and Shareholders’ Arrangements Department</w:t>
            </w:r>
            <w:r w:rsidRPr="007419E1">
              <w:rPr>
                <w:rFonts w:eastAsia="Calibri"/>
                <w:sz w:val="26"/>
                <w:szCs w:val="26"/>
                <w:lang w:val="en-US"/>
              </w:rPr>
              <w:t xml:space="preserve">                   </w:t>
            </w:r>
            <w:r w:rsidR="00777A04" w:rsidRPr="007419E1">
              <w:rPr>
                <w:rFonts w:ascii="Times New Roman" w:hAnsi="Times New Roman" w:cs="Times New Roman"/>
                <w:sz w:val="24"/>
                <w:lang w:val="en-US"/>
              </w:rPr>
              <w:t xml:space="preserve">______________________       </w:t>
            </w:r>
            <w:r w:rsidR="00777A04" w:rsidRPr="007419E1">
              <w:rPr>
                <w:rFonts w:ascii="Times New Roman" w:hAnsi="Times New Roman" w:cs="Times New Roman"/>
                <w:sz w:val="24"/>
              </w:rPr>
              <w:t>Е</w:t>
            </w:r>
            <w:r w:rsidR="00777A04" w:rsidRPr="007419E1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="00777A04" w:rsidRPr="007419E1">
              <w:rPr>
                <w:rFonts w:ascii="Times New Roman" w:hAnsi="Times New Roman" w:cs="Times New Roman"/>
                <w:sz w:val="24"/>
              </w:rPr>
              <w:t>Е</w:t>
            </w:r>
            <w:r w:rsidR="00777A04" w:rsidRPr="007419E1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7419E1">
              <w:rPr>
                <w:rFonts w:ascii="Times New Roman" w:hAnsi="Times New Roman" w:cs="Times New Roman"/>
                <w:sz w:val="24"/>
                <w:lang w:val="en-US"/>
              </w:rPr>
              <w:t>Didenko</w:t>
            </w:r>
          </w:p>
          <w:p w:rsidR="00777A04" w:rsidRPr="007419E1" w:rsidRDefault="00777A04" w:rsidP="00777A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7419E1" w:rsidRPr="0074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 procuration</w:t>
            </w:r>
            <w:r w:rsidR="009B06FC" w:rsidRPr="007419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19E1"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  <w:r w:rsidR="00F81818"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23/256-</w:t>
            </w:r>
            <w:r w:rsidR="00F81818" w:rsidRPr="007419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81818"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/23-2020-4-130 </w:t>
            </w:r>
            <w:r w:rsidR="007419E1"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F81818"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19E1"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January </w:t>
            </w:r>
            <w:r w:rsidR="00F81818"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7419E1"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81818"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  <w:r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     (</w:t>
            </w:r>
            <w:r w:rsidR="007419E1"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  <w:r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               </w:t>
            </w:r>
          </w:p>
          <w:p w:rsidR="005F1291" w:rsidRPr="007419E1" w:rsidRDefault="005F1291" w:rsidP="00230C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BE4CFE" w:rsidRPr="007419E1" w:rsidRDefault="005F1291" w:rsidP="007419E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419E1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7419E1"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7419E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F57CD" w:rsidRPr="007419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419E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419E1"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</w:t>
            </w:r>
            <w:r w:rsidRPr="007419E1"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  <w:r w:rsidR="003F57CD" w:rsidRPr="007419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19E1" w:rsidRPr="0074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9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419E1"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7419E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419E1" w:rsidRPr="0074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:rsidR="0045226D" w:rsidRPr="007419E1" w:rsidRDefault="0045226D" w:rsidP="00E1266D">
      <w:pPr>
        <w:jc w:val="center"/>
        <w:rPr>
          <w:sz w:val="22"/>
          <w:szCs w:val="22"/>
        </w:rPr>
      </w:pPr>
    </w:p>
    <w:p w:rsidR="0054654A" w:rsidRPr="007419E1" w:rsidRDefault="0054654A" w:rsidP="00E1266D">
      <w:pPr>
        <w:jc w:val="center"/>
        <w:rPr>
          <w:sz w:val="22"/>
          <w:szCs w:val="22"/>
        </w:rPr>
      </w:pPr>
    </w:p>
    <w:p w:rsidR="00CA7FB3" w:rsidRPr="007419E1" w:rsidRDefault="00CA7FB3" w:rsidP="00E1266D">
      <w:pPr>
        <w:jc w:val="center"/>
        <w:rPr>
          <w:sz w:val="22"/>
          <w:szCs w:val="22"/>
        </w:rPr>
      </w:pPr>
    </w:p>
    <w:p w:rsidR="00CA7FB3" w:rsidRPr="007419E1" w:rsidRDefault="00CA7FB3" w:rsidP="00E1266D">
      <w:pPr>
        <w:jc w:val="center"/>
        <w:rPr>
          <w:sz w:val="22"/>
          <w:szCs w:val="22"/>
        </w:rPr>
      </w:pPr>
    </w:p>
    <w:p w:rsidR="00CA7FB3" w:rsidRPr="007419E1" w:rsidRDefault="00CA7FB3" w:rsidP="00E1266D">
      <w:pPr>
        <w:jc w:val="center"/>
        <w:rPr>
          <w:sz w:val="22"/>
          <w:szCs w:val="22"/>
        </w:rPr>
      </w:pPr>
    </w:p>
    <w:p w:rsidR="00CA7FB3" w:rsidRPr="007419E1" w:rsidRDefault="00CA7FB3" w:rsidP="00E1266D">
      <w:pPr>
        <w:jc w:val="center"/>
        <w:rPr>
          <w:sz w:val="22"/>
          <w:szCs w:val="22"/>
        </w:rPr>
      </w:pPr>
    </w:p>
    <w:p w:rsidR="00CA7FB3" w:rsidRPr="007419E1" w:rsidRDefault="00CA7FB3" w:rsidP="00E1266D">
      <w:pPr>
        <w:jc w:val="center"/>
        <w:rPr>
          <w:sz w:val="22"/>
          <w:szCs w:val="22"/>
        </w:rPr>
      </w:pPr>
    </w:p>
    <w:p w:rsidR="00CA7FB3" w:rsidRPr="007419E1" w:rsidRDefault="00CA7FB3" w:rsidP="00E1266D">
      <w:pPr>
        <w:jc w:val="center"/>
        <w:rPr>
          <w:sz w:val="22"/>
          <w:szCs w:val="22"/>
        </w:rPr>
      </w:pPr>
    </w:p>
    <w:p w:rsidR="00CA7FB3" w:rsidRPr="007419E1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  <w:lang w:val="en-US"/>
        </w:rPr>
      </w:pPr>
    </w:p>
    <w:p w:rsidR="007419E1" w:rsidRDefault="007419E1" w:rsidP="00E1266D">
      <w:pPr>
        <w:jc w:val="center"/>
        <w:rPr>
          <w:sz w:val="22"/>
          <w:szCs w:val="22"/>
          <w:lang w:val="en-US"/>
        </w:rPr>
      </w:pPr>
    </w:p>
    <w:p w:rsidR="007419E1" w:rsidRDefault="007419E1" w:rsidP="00E1266D">
      <w:pPr>
        <w:jc w:val="center"/>
        <w:rPr>
          <w:sz w:val="22"/>
          <w:szCs w:val="22"/>
          <w:lang w:val="en-US"/>
        </w:rPr>
      </w:pPr>
    </w:p>
    <w:p w:rsidR="007419E1" w:rsidRDefault="007419E1" w:rsidP="00E1266D">
      <w:pPr>
        <w:jc w:val="center"/>
        <w:rPr>
          <w:sz w:val="22"/>
          <w:szCs w:val="22"/>
          <w:lang w:val="en-US"/>
        </w:rPr>
      </w:pPr>
    </w:p>
    <w:p w:rsidR="007419E1" w:rsidRPr="007419E1" w:rsidRDefault="007419E1" w:rsidP="00E1266D">
      <w:pPr>
        <w:jc w:val="center"/>
        <w:rPr>
          <w:sz w:val="22"/>
          <w:szCs w:val="22"/>
          <w:lang w:val="en-US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Default="00CA7FB3" w:rsidP="00E1266D">
      <w:pPr>
        <w:jc w:val="center"/>
        <w:rPr>
          <w:sz w:val="22"/>
          <w:szCs w:val="22"/>
        </w:rPr>
      </w:pPr>
    </w:p>
    <w:p w:rsidR="00CA7FB3" w:rsidRPr="00721B0D" w:rsidRDefault="00CA7FB3" w:rsidP="00CA7FB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B0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Сообщение о существенном факте </w:t>
      </w:r>
    </w:p>
    <w:p w:rsidR="00CA7FB3" w:rsidRPr="00721B0D" w:rsidRDefault="00CA7FB3" w:rsidP="00CA7FB3">
      <w:pPr>
        <w:jc w:val="center"/>
        <w:rPr>
          <w:rFonts w:eastAsiaTheme="minorHAnsi"/>
          <w:b/>
          <w:bCs/>
          <w:iCs/>
          <w:sz w:val="22"/>
          <w:szCs w:val="22"/>
          <w:lang w:eastAsia="en-US"/>
        </w:rPr>
      </w:pPr>
      <w:r w:rsidRPr="00721B0D">
        <w:rPr>
          <w:b/>
          <w:bCs/>
        </w:rPr>
        <w:t xml:space="preserve">о раскрытии эмитентом </w:t>
      </w:r>
      <w:r w:rsidRPr="00721B0D">
        <w:rPr>
          <w:rFonts w:eastAsiaTheme="minorHAnsi"/>
          <w:b/>
          <w:bCs/>
          <w:iCs/>
          <w:sz w:val="22"/>
          <w:szCs w:val="22"/>
          <w:lang w:eastAsia="en-US"/>
        </w:rPr>
        <w:t>годовой консолидированной финансовой отчетности, в том числе подготовленной в соответствии с Международными стандартами финансовой отчетности (МСФО), а также о представлен</w:t>
      </w:r>
      <w:proofErr w:type="gramStart"/>
      <w:r w:rsidRPr="00721B0D">
        <w:rPr>
          <w:rFonts w:eastAsiaTheme="minorHAnsi"/>
          <w:b/>
          <w:bCs/>
          <w:iCs/>
          <w:sz w:val="22"/>
          <w:szCs w:val="22"/>
          <w:lang w:eastAsia="en-US"/>
        </w:rPr>
        <w:t>ии ау</w:t>
      </w:r>
      <w:proofErr w:type="gramEnd"/>
      <w:r w:rsidRPr="00721B0D">
        <w:rPr>
          <w:rFonts w:eastAsiaTheme="minorHAnsi"/>
          <w:b/>
          <w:bCs/>
          <w:iCs/>
          <w:sz w:val="22"/>
          <w:szCs w:val="22"/>
          <w:lang w:eastAsia="en-US"/>
        </w:rPr>
        <w:t>диторского заключения, подготовленного в отношении такой отчетности.</w:t>
      </w:r>
    </w:p>
    <w:p w:rsidR="00CA7FB3" w:rsidRPr="00721B0D" w:rsidRDefault="00CA7FB3" w:rsidP="00CA7FB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B0D">
        <w:rPr>
          <w:rFonts w:ascii="Times New Roman" w:hAnsi="Times New Roman" w:cs="Times New Roman"/>
          <w:b/>
          <w:bCs/>
          <w:sz w:val="24"/>
          <w:szCs w:val="24"/>
        </w:rPr>
        <w:t xml:space="preserve"> (раскрытие инсайдерской информации)</w:t>
      </w:r>
    </w:p>
    <w:p w:rsidR="00CA7FB3" w:rsidRPr="00721B0D" w:rsidRDefault="00CA7FB3" w:rsidP="00CA7FB3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4077"/>
        <w:gridCol w:w="6379"/>
      </w:tblGrid>
      <w:tr w:rsidR="00CA7FB3" w:rsidRPr="00721B0D" w:rsidTr="00DB0952">
        <w:tc>
          <w:tcPr>
            <w:tcW w:w="10456" w:type="dxa"/>
            <w:gridSpan w:val="2"/>
          </w:tcPr>
          <w:p w:rsidR="00CA7FB3" w:rsidRPr="00721B0D" w:rsidRDefault="00CA7FB3" w:rsidP="00CA7FB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</w:rPr>
              <w:t>Общие сведения</w:t>
            </w:r>
          </w:p>
        </w:tc>
      </w:tr>
      <w:tr w:rsidR="00CA7FB3" w:rsidRPr="00721B0D" w:rsidTr="00DB0952">
        <w:tc>
          <w:tcPr>
            <w:tcW w:w="4077" w:type="dxa"/>
          </w:tcPr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</w:rPr>
              <w:t>1.1  Полное фирменное наименование эмитента</w:t>
            </w:r>
          </w:p>
        </w:tc>
        <w:tc>
          <w:tcPr>
            <w:tcW w:w="6379" w:type="dxa"/>
          </w:tcPr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  <w:b/>
                <w:i/>
              </w:rPr>
              <w:t>Публичное акционерное общество энергетики и электрификации Кубани</w:t>
            </w:r>
          </w:p>
        </w:tc>
      </w:tr>
      <w:tr w:rsidR="00CA7FB3" w:rsidRPr="00721B0D" w:rsidTr="00DB0952">
        <w:tc>
          <w:tcPr>
            <w:tcW w:w="4077" w:type="dxa"/>
          </w:tcPr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</w:rPr>
              <w:t>1.2. Сокращенное фирменное название эмитента</w:t>
            </w:r>
          </w:p>
        </w:tc>
        <w:tc>
          <w:tcPr>
            <w:tcW w:w="6379" w:type="dxa"/>
          </w:tcPr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  <w:b/>
                <w:i/>
              </w:rPr>
              <w:t>ПАО «Кубаньэнерго»</w:t>
            </w:r>
          </w:p>
        </w:tc>
      </w:tr>
      <w:tr w:rsidR="00CA7FB3" w:rsidRPr="00721B0D" w:rsidTr="00DB0952">
        <w:tc>
          <w:tcPr>
            <w:tcW w:w="4077" w:type="dxa"/>
          </w:tcPr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</w:rPr>
              <w:t>1.3. Место нахождения эмитента</w:t>
            </w:r>
          </w:p>
        </w:tc>
        <w:tc>
          <w:tcPr>
            <w:tcW w:w="6379" w:type="dxa"/>
          </w:tcPr>
          <w:p w:rsidR="00CA7FB3" w:rsidRPr="00721B0D" w:rsidRDefault="00CA7FB3" w:rsidP="00DB0952">
            <w:r w:rsidRPr="00721B0D">
              <w:rPr>
                <w:b/>
                <w:i/>
              </w:rPr>
              <w:t>Российская Федерация, г. Краснодар</w:t>
            </w:r>
          </w:p>
        </w:tc>
      </w:tr>
      <w:tr w:rsidR="00CA7FB3" w:rsidRPr="00721B0D" w:rsidTr="00DB0952">
        <w:tc>
          <w:tcPr>
            <w:tcW w:w="4077" w:type="dxa"/>
          </w:tcPr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</w:rPr>
              <w:t>1.4. ОГРН эмитента</w:t>
            </w:r>
          </w:p>
        </w:tc>
        <w:tc>
          <w:tcPr>
            <w:tcW w:w="6379" w:type="dxa"/>
          </w:tcPr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  <w:b/>
                <w:i/>
              </w:rPr>
              <w:t>1022301427268</w:t>
            </w:r>
          </w:p>
        </w:tc>
      </w:tr>
      <w:tr w:rsidR="00CA7FB3" w:rsidRPr="00721B0D" w:rsidTr="00DB0952">
        <w:tc>
          <w:tcPr>
            <w:tcW w:w="4077" w:type="dxa"/>
          </w:tcPr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6379" w:type="dxa"/>
          </w:tcPr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  <w:b/>
                <w:i/>
              </w:rPr>
              <w:t>2309001660</w:t>
            </w:r>
          </w:p>
        </w:tc>
      </w:tr>
      <w:tr w:rsidR="00CA7FB3" w:rsidRPr="00721B0D" w:rsidTr="00DB0952">
        <w:tc>
          <w:tcPr>
            <w:tcW w:w="4077" w:type="dxa"/>
          </w:tcPr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379" w:type="dxa"/>
          </w:tcPr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  <w:b/>
                <w:i/>
              </w:rPr>
              <w:t>00063-А</w:t>
            </w:r>
          </w:p>
        </w:tc>
      </w:tr>
      <w:tr w:rsidR="00CA7FB3" w:rsidRPr="00721B0D" w:rsidTr="00DB0952">
        <w:tc>
          <w:tcPr>
            <w:tcW w:w="4077" w:type="dxa"/>
          </w:tcPr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379" w:type="dxa"/>
          </w:tcPr>
          <w:p w:rsidR="00CA7FB3" w:rsidRPr="00721B0D" w:rsidRDefault="00CA7FB3" w:rsidP="00DB0952">
            <w:pPr>
              <w:pStyle w:val="a3"/>
            </w:pPr>
            <w:r w:rsidRPr="00721B0D">
              <w:rPr>
                <w:rFonts w:ascii="Times New Roman" w:hAnsi="Times New Roman" w:cs="Times New Roman"/>
                <w:b/>
                <w:i/>
                <w:lang w:val="en-US"/>
              </w:rPr>
              <w:t>http</w:t>
            </w:r>
            <w:r w:rsidRPr="00721B0D">
              <w:rPr>
                <w:rFonts w:ascii="Times New Roman" w:hAnsi="Times New Roman" w:cs="Times New Roman"/>
                <w:b/>
                <w:i/>
              </w:rPr>
              <w:t>://</w:t>
            </w:r>
            <w:hyperlink r:id="rId8" w:history="1">
              <w:r w:rsidRPr="00721B0D">
                <w:rPr>
                  <w:rFonts w:ascii="Times New Roman" w:hAnsi="Times New Roman" w:cs="Times New Roman"/>
                  <w:b/>
                  <w:i/>
                  <w:lang w:val="en-US"/>
                </w:rPr>
                <w:t>www</w:t>
              </w:r>
              <w:r w:rsidRPr="00721B0D">
                <w:rPr>
                  <w:rFonts w:ascii="Times New Roman" w:hAnsi="Times New Roman" w:cs="Times New Roman"/>
                  <w:b/>
                  <w:i/>
                </w:rPr>
                <w:t>.</w:t>
              </w:r>
              <w:proofErr w:type="spellStart"/>
              <w:r w:rsidRPr="00721B0D">
                <w:rPr>
                  <w:rFonts w:ascii="Times New Roman" w:hAnsi="Times New Roman" w:cs="Times New Roman"/>
                  <w:b/>
                  <w:i/>
                  <w:lang w:val="en-US"/>
                </w:rPr>
                <w:t>kubanenergo</w:t>
              </w:r>
              <w:proofErr w:type="spellEnd"/>
              <w:r w:rsidRPr="00721B0D">
                <w:rPr>
                  <w:rFonts w:ascii="Times New Roman" w:hAnsi="Times New Roman" w:cs="Times New Roman"/>
                  <w:b/>
                  <w:i/>
                </w:rPr>
                <w:t>.</w:t>
              </w:r>
              <w:proofErr w:type="spellStart"/>
              <w:r w:rsidRPr="00721B0D">
                <w:rPr>
                  <w:rFonts w:ascii="Times New Roman" w:hAnsi="Times New Roman" w:cs="Times New Roman"/>
                  <w:b/>
                  <w:i/>
                  <w:lang w:val="en-US"/>
                </w:rPr>
                <w:t>ru</w:t>
              </w:r>
              <w:proofErr w:type="spellEnd"/>
            </w:hyperlink>
            <w:r w:rsidRPr="00721B0D">
              <w:t>,</w:t>
            </w:r>
          </w:p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721B0D">
              <w:rPr>
                <w:rFonts w:ascii="Times New Roman" w:hAnsi="Times New Roman" w:cs="Times New Roman"/>
                <w:b/>
                <w:i/>
              </w:rPr>
              <w:t>http://www.e-disclosure.ru/portal/company.aspx?id=2827</w:t>
            </w:r>
          </w:p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A7FB3" w:rsidRPr="00721B0D" w:rsidTr="00DB0952">
        <w:tc>
          <w:tcPr>
            <w:tcW w:w="4077" w:type="dxa"/>
          </w:tcPr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379" w:type="dxa"/>
          </w:tcPr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721B0D">
              <w:rPr>
                <w:rFonts w:ascii="Times New Roman" w:hAnsi="Times New Roman" w:cs="Times New Roman"/>
                <w:b/>
                <w:i/>
              </w:rPr>
              <w:t>13.03.20</w:t>
            </w:r>
            <w:r w:rsidRPr="00721B0D">
              <w:rPr>
                <w:rFonts w:ascii="Times New Roman" w:hAnsi="Times New Roman" w:cs="Times New Roman"/>
                <w:b/>
                <w:i/>
                <w:lang w:val="en-US"/>
              </w:rPr>
              <w:t>20</w:t>
            </w:r>
          </w:p>
        </w:tc>
      </w:tr>
      <w:tr w:rsidR="00CA7FB3" w:rsidRPr="00721B0D" w:rsidTr="00DB0952">
        <w:tc>
          <w:tcPr>
            <w:tcW w:w="10456" w:type="dxa"/>
            <w:gridSpan w:val="2"/>
          </w:tcPr>
          <w:p w:rsidR="00CA7FB3" w:rsidRPr="00721B0D" w:rsidRDefault="00CA7FB3" w:rsidP="00DB0952">
            <w:pPr>
              <w:jc w:val="center"/>
            </w:pPr>
            <w:r w:rsidRPr="00721B0D">
              <w:t>2. Содержание сообщения</w:t>
            </w:r>
          </w:p>
        </w:tc>
      </w:tr>
      <w:tr w:rsidR="00CA7FB3" w:rsidRPr="00721B0D" w:rsidTr="00DB0952">
        <w:tc>
          <w:tcPr>
            <w:tcW w:w="10456" w:type="dxa"/>
            <w:gridSpan w:val="2"/>
          </w:tcPr>
          <w:p w:rsidR="00CA7FB3" w:rsidRPr="00721B0D" w:rsidRDefault="00CA7FB3" w:rsidP="00DB0952">
            <w:pPr>
              <w:adjustRightInd w:val="0"/>
              <w:jc w:val="both"/>
              <w:outlineLvl w:val="2"/>
              <w:rPr>
                <w:rFonts w:eastAsiaTheme="minorHAnsi"/>
                <w:bCs/>
                <w:lang w:eastAsia="en-US"/>
              </w:rPr>
            </w:pPr>
            <w:r w:rsidRPr="00721B0D">
              <w:rPr>
                <w:rFonts w:eastAsiaTheme="minorHAnsi"/>
                <w:bCs/>
                <w:lang w:eastAsia="en-US"/>
              </w:rPr>
              <w:t>2.1. Вид консолидированной финансовой отчетности эмитента (</w:t>
            </w:r>
            <w:proofErr w:type="gramStart"/>
            <w:r w:rsidRPr="00721B0D">
              <w:rPr>
                <w:rFonts w:eastAsiaTheme="minorHAnsi"/>
                <w:bCs/>
                <w:lang w:eastAsia="en-US"/>
              </w:rPr>
              <w:t>промежуточная</w:t>
            </w:r>
            <w:proofErr w:type="gramEnd"/>
            <w:r w:rsidRPr="00721B0D">
              <w:rPr>
                <w:rFonts w:eastAsiaTheme="minorHAnsi"/>
                <w:bCs/>
                <w:lang w:eastAsia="en-US"/>
              </w:rPr>
              <w:t xml:space="preserve"> или годовая): </w:t>
            </w:r>
            <w:r w:rsidRPr="00721B0D">
              <w:rPr>
                <w:rFonts w:eastAsiaTheme="minorHAnsi"/>
                <w:b/>
                <w:bCs/>
                <w:i/>
                <w:lang w:eastAsia="en-US"/>
              </w:rPr>
              <w:t>годовая;</w:t>
            </w:r>
          </w:p>
          <w:p w:rsidR="00CA7FB3" w:rsidRPr="00721B0D" w:rsidRDefault="00CA7FB3" w:rsidP="00DB0952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i/>
                <w:lang w:eastAsia="en-US"/>
              </w:rPr>
            </w:pPr>
            <w:r w:rsidRPr="00721B0D">
              <w:rPr>
                <w:rFonts w:eastAsiaTheme="minorHAnsi"/>
                <w:bCs/>
                <w:lang w:eastAsia="en-US"/>
              </w:rPr>
              <w:t xml:space="preserve">2.2. Отчетный период, за который составлена консолидированная финансовая отчетность эмитента: </w:t>
            </w:r>
            <w:r w:rsidRPr="00721B0D">
              <w:rPr>
                <w:rFonts w:eastAsiaTheme="minorHAnsi"/>
                <w:b/>
                <w:bCs/>
                <w:i/>
                <w:lang w:eastAsia="en-US"/>
              </w:rPr>
              <w:t>за год, закончившийся 31 декабря 2019 года;</w:t>
            </w:r>
          </w:p>
          <w:p w:rsidR="00CA7FB3" w:rsidRPr="00721B0D" w:rsidRDefault="00CA7FB3" w:rsidP="00DB0952">
            <w:pPr>
              <w:adjustRightInd w:val="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721B0D">
              <w:rPr>
                <w:rFonts w:eastAsiaTheme="minorHAnsi"/>
                <w:bCs/>
                <w:lang w:eastAsia="en-US"/>
              </w:rPr>
              <w:t xml:space="preserve">2.3. </w:t>
            </w:r>
            <w:r w:rsidRPr="00721B0D">
              <w:rPr>
                <w:rFonts w:eastAsiaTheme="minorHAnsi"/>
                <w:bCs/>
                <w:iCs/>
                <w:lang w:eastAsia="en-US"/>
              </w:rPr>
              <w:t xml:space="preserve">Дата составления консолидированной финансовой отчетности эмитента:  </w:t>
            </w:r>
            <w:r w:rsidRPr="00721B0D">
              <w:rPr>
                <w:rFonts w:eastAsiaTheme="minorHAnsi"/>
                <w:b/>
                <w:bCs/>
                <w:i/>
                <w:iCs/>
                <w:lang w:eastAsia="en-US"/>
              </w:rPr>
              <w:t>13.03.2020</w:t>
            </w:r>
          </w:p>
          <w:p w:rsidR="00CA7FB3" w:rsidRPr="00721B0D" w:rsidRDefault="00CA7FB3" w:rsidP="00DB0952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i/>
                <w:lang w:eastAsia="en-US"/>
              </w:rPr>
            </w:pPr>
            <w:r w:rsidRPr="00721B0D">
              <w:rPr>
                <w:rFonts w:eastAsiaTheme="minorHAnsi"/>
                <w:bCs/>
                <w:lang w:eastAsia="en-US"/>
              </w:rPr>
              <w:t>2.4. С</w:t>
            </w:r>
            <w:r w:rsidRPr="00721B0D">
              <w:rPr>
                <w:rFonts w:eastAsiaTheme="minorHAnsi"/>
                <w:bCs/>
                <w:iCs/>
                <w:lang w:eastAsia="en-US"/>
              </w:rPr>
              <w:t>тандарты бухгалтерской (финансовой) отчетности, в соответствии с которыми составлена консолидированная финансовая отчетность (Международные стандарты финансовой отчетности (МСФО); общепринятые принципы бухгалтерского учета США (US GAAP); иные стандарты)</w:t>
            </w:r>
            <w:r w:rsidRPr="00721B0D">
              <w:rPr>
                <w:rFonts w:eastAsiaTheme="minorHAnsi"/>
                <w:bCs/>
                <w:lang w:eastAsia="en-US"/>
              </w:rPr>
              <w:t xml:space="preserve">: </w:t>
            </w:r>
            <w:r w:rsidRPr="00721B0D">
              <w:rPr>
                <w:rFonts w:eastAsiaTheme="minorHAnsi"/>
                <w:b/>
                <w:bCs/>
                <w:i/>
                <w:lang w:eastAsia="en-US"/>
              </w:rPr>
              <w:t>Международные стандарты финансовой отчетности (МСФО);</w:t>
            </w:r>
          </w:p>
          <w:p w:rsidR="00CA7FB3" w:rsidRPr="00721B0D" w:rsidRDefault="00CA7FB3" w:rsidP="00DB0952">
            <w:pPr>
              <w:adjustRightInd w:val="0"/>
              <w:jc w:val="both"/>
              <w:outlineLvl w:val="2"/>
              <w:rPr>
                <w:rFonts w:eastAsiaTheme="minorHAnsi"/>
                <w:bCs/>
                <w:lang w:eastAsia="en-US"/>
              </w:rPr>
            </w:pPr>
            <w:r w:rsidRPr="00721B0D">
              <w:rPr>
                <w:rFonts w:eastAsiaTheme="minorHAnsi"/>
                <w:bCs/>
                <w:lang w:eastAsia="en-US"/>
              </w:rPr>
              <w:t xml:space="preserve">2.5. </w:t>
            </w:r>
            <w:proofErr w:type="gramStart"/>
            <w:r w:rsidRPr="00721B0D">
              <w:rPr>
                <w:rFonts w:eastAsiaTheme="minorHAnsi"/>
                <w:bCs/>
                <w:iCs/>
                <w:lang w:eastAsia="en-US"/>
              </w:rPr>
              <w:t>Сведения об аудиторе (аудиторской организации), подготовившем (подготовившей) аудиторское заключение или иной документ, составленный по результатам проверки консолидированной финансовой отчетности эмитента в соответствии со стандартами аудиторской деятельности (фамилия, имя, отчество (если имеется) аудитора или полное фирменное наименование, место нахождения, ИНН (если применимо), ОГРН (если применимо) аудиторской организации), или указание на то, что в отношении консолидированной финансовой отчетности эмитента аудит или проверка</w:t>
            </w:r>
            <w:proofErr w:type="gramEnd"/>
            <w:r w:rsidRPr="00721B0D">
              <w:rPr>
                <w:rFonts w:eastAsiaTheme="minorHAnsi"/>
                <w:bCs/>
                <w:iCs/>
                <w:lang w:eastAsia="en-US"/>
              </w:rPr>
              <w:t xml:space="preserve"> в соответствии со стандартами аудиторской деятельности не проводились</w:t>
            </w:r>
            <w:r w:rsidRPr="00721B0D">
              <w:rPr>
                <w:rFonts w:eastAsiaTheme="minorHAnsi"/>
                <w:bCs/>
                <w:lang w:eastAsia="en-US"/>
              </w:rPr>
              <w:t xml:space="preserve">: </w:t>
            </w:r>
          </w:p>
          <w:p w:rsidR="00CA7FB3" w:rsidRPr="00721B0D" w:rsidRDefault="00CA7FB3" w:rsidP="00DB0952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721B0D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Полное фирменное наименование: </w:t>
            </w:r>
            <w:r w:rsidRPr="00721B0D">
              <w:rPr>
                <w:b/>
                <w:bCs/>
                <w:i/>
                <w:color w:val="333333"/>
                <w:sz w:val="22"/>
                <w:szCs w:val="22"/>
              </w:rPr>
              <w:t>Общество с ограниченной ответственностью «Эрнст энд Янг»</w:t>
            </w:r>
          </w:p>
          <w:p w:rsidR="00CA7FB3" w:rsidRPr="00721B0D" w:rsidRDefault="00CA7FB3" w:rsidP="00DB0952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721B0D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Юридический адрес: </w:t>
            </w:r>
            <w:r w:rsidRPr="00721B0D">
              <w:rPr>
                <w:b/>
                <w:i/>
                <w:color w:val="333333"/>
                <w:sz w:val="22"/>
                <w:szCs w:val="22"/>
              </w:rPr>
              <w:t xml:space="preserve">115035, Россия, Москва, Садовническая набережная, 77, </w:t>
            </w:r>
            <w:proofErr w:type="gramStart"/>
            <w:r w:rsidRPr="00721B0D">
              <w:rPr>
                <w:b/>
                <w:i/>
                <w:color w:val="333333"/>
                <w:sz w:val="22"/>
                <w:szCs w:val="22"/>
              </w:rPr>
              <w:t>стр</w:t>
            </w:r>
            <w:proofErr w:type="gramEnd"/>
            <w:r w:rsidRPr="00721B0D">
              <w:rPr>
                <w:b/>
                <w:i/>
                <w:color w:val="333333"/>
                <w:sz w:val="22"/>
                <w:szCs w:val="22"/>
              </w:rPr>
              <w:t>,1 </w:t>
            </w:r>
          </w:p>
          <w:p w:rsidR="00CA7FB3" w:rsidRPr="00721B0D" w:rsidRDefault="00CA7FB3" w:rsidP="00DB0952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721B0D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Место нахождения: </w:t>
            </w:r>
            <w:r w:rsidRPr="00721B0D">
              <w:rPr>
                <w:b/>
                <w:i/>
                <w:color w:val="333333"/>
                <w:sz w:val="22"/>
                <w:szCs w:val="22"/>
              </w:rPr>
              <w:t xml:space="preserve">115035, Россия, Москва, Садовническая набережная, 77, </w:t>
            </w:r>
            <w:proofErr w:type="gramStart"/>
            <w:r w:rsidRPr="00721B0D">
              <w:rPr>
                <w:b/>
                <w:i/>
                <w:color w:val="333333"/>
                <w:sz w:val="22"/>
                <w:szCs w:val="22"/>
              </w:rPr>
              <w:t>стр</w:t>
            </w:r>
            <w:proofErr w:type="gramEnd"/>
            <w:r w:rsidRPr="00721B0D">
              <w:rPr>
                <w:b/>
                <w:i/>
                <w:color w:val="333333"/>
                <w:sz w:val="22"/>
                <w:szCs w:val="22"/>
              </w:rPr>
              <w:t>,1 </w:t>
            </w:r>
          </w:p>
          <w:p w:rsidR="00CA7FB3" w:rsidRPr="00721B0D" w:rsidRDefault="00CA7FB3" w:rsidP="00DB0952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721B0D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ИНН: </w:t>
            </w:r>
            <w:r w:rsidRPr="00721B0D">
              <w:rPr>
                <w:b/>
                <w:i/>
                <w:color w:val="333333"/>
                <w:sz w:val="22"/>
                <w:szCs w:val="22"/>
              </w:rPr>
              <w:t>7709383532</w:t>
            </w:r>
          </w:p>
          <w:p w:rsidR="00CA7FB3" w:rsidRPr="00721B0D" w:rsidRDefault="00CA7FB3" w:rsidP="00DB0952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721B0D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ОГРН: </w:t>
            </w:r>
            <w:r w:rsidRPr="00721B0D">
              <w:rPr>
                <w:b/>
                <w:i/>
                <w:color w:val="333333"/>
                <w:sz w:val="22"/>
                <w:szCs w:val="22"/>
              </w:rPr>
              <w:t>1027739707203</w:t>
            </w:r>
            <w:r w:rsidRPr="00721B0D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;</w:t>
            </w:r>
          </w:p>
          <w:p w:rsidR="00CA7FB3" w:rsidRPr="00CA7FB3" w:rsidRDefault="00CA7FB3" w:rsidP="00DB0952">
            <w:pPr>
              <w:adjustRightInd w:val="0"/>
              <w:jc w:val="both"/>
              <w:outlineLvl w:val="2"/>
              <w:rPr>
                <w:rFonts w:eastAsiaTheme="minorHAnsi"/>
                <w:bCs/>
                <w:sz w:val="22"/>
                <w:lang w:eastAsia="en-US"/>
              </w:rPr>
            </w:pPr>
            <w:r w:rsidRPr="00CA7FB3">
              <w:rPr>
                <w:rFonts w:eastAsiaTheme="minorHAnsi"/>
                <w:bCs/>
                <w:sz w:val="22"/>
                <w:lang w:eastAsia="en-US"/>
              </w:rPr>
              <w:t xml:space="preserve">2.6. </w:t>
            </w:r>
            <w:r w:rsidRPr="00CA7FB3">
              <w:rPr>
                <w:rFonts w:eastAsiaTheme="minorHAnsi"/>
                <w:bCs/>
                <w:iCs/>
                <w:sz w:val="22"/>
                <w:lang w:eastAsia="en-US"/>
              </w:rPr>
              <w:t>Адрес страницы в сети Интернет, на которой эмитентом опубликован текст консолидированной финансовой отчетности, а также текст аудиторского заключения или иного документа, составленного по результатам проверки такой отчетности в соответствии со стандартами аудиторской деятельности</w:t>
            </w:r>
            <w:r w:rsidRPr="00CA7FB3">
              <w:rPr>
                <w:rFonts w:eastAsiaTheme="minorHAnsi"/>
                <w:bCs/>
                <w:sz w:val="22"/>
                <w:lang w:eastAsia="en-US"/>
              </w:rPr>
              <w:t>:</w:t>
            </w:r>
          </w:p>
          <w:p w:rsidR="00CA7FB3" w:rsidRPr="00CA7FB3" w:rsidRDefault="00CA7FB3" w:rsidP="00DB0952">
            <w:pPr>
              <w:adjustRightInd w:val="0"/>
              <w:jc w:val="both"/>
              <w:outlineLvl w:val="2"/>
              <w:rPr>
                <w:b/>
                <w:i/>
                <w:sz w:val="22"/>
              </w:rPr>
            </w:pPr>
            <w:r w:rsidRPr="00CA7FB3">
              <w:rPr>
                <w:rFonts w:eastAsiaTheme="minorHAnsi"/>
                <w:b/>
                <w:i/>
                <w:sz w:val="22"/>
                <w:lang w:eastAsia="en-US"/>
              </w:rPr>
              <w:t xml:space="preserve">http://kubanenergo.ru/aktsioneram-i-investoram/raskrytie-informatsii/finansovaya-informatsiya-i-otchetnost/; </w:t>
            </w:r>
            <w:hyperlink r:id="rId9" w:history="1">
              <w:r w:rsidRPr="00CA7FB3">
                <w:rPr>
                  <w:rStyle w:val="a9"/>
                  <w:b/>
                  <w:i/>
                  <w:sz w:val="22"/>
                </w:rPr>
                <w:t>http://www.e-disclosure.ru/portal/company.aspx?id=2827</w:t>
              </w:r>
            </w:hyperlink>
            <w:r w:rsidRPr="00CA7FB3">
              <w:rPr>
                <w:b/>
                <w:i/>
                <w:sz w:val="22"/>
              </w:rPr>
              <w:t>;</w:t>
            </w:r>
          </w:p>
          <w:p w:rsidR="00CA7FB3" w:rsidRPr="00CA7FB3" w:rsidRDefault="00CA7FB3" w:rsidP="00DB0952">
            <w:pPr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2"/>
                <w:lang w:eastAsia="en-US"/>
              </w:rPr>
            </w:pPr>
            <w:r w:rsidRPr="00CA7FB3">
              <w:rPr>
                <w:rFonts w:eastAsiaTheme="minorHAnsi"/>
                <w:bCs/>
                <w:iCs/>
                <w:sz w:val="22"/>
                <w:lang w:eastAsia="en-US"/>
              </w:rPr>
              <w:t>2.7.</w:t>
            </w:r>
            <w:r w:rsidRPr="00CA7FB3">
              <w:rPr>
                <w:rFonts w:eastAsiaTheme="minorHAnsi"/>
                <w:b/>
                <w:bCs/>
                <w:i/>
                <w:iCs/>
                <w:sz w:val="22"/>
                <w:lang w:eastAsia="en-US"/>
              </w:rPr>
              <w:t xml:space="preserve"> </w:t>
            </w:r>
            <w:r w:rsidRPr="00CA7FB3">
              <w:rPr>
                <w:rFonts w:eastAsiaTheme="minorHAnsi"/>
                <w:bCs/>
                <w:iCs/>
                <w:sz w:val="22"/>
                <w:lang w:eastAsia="en-US"/>
              </w:rPr>
              <w:t xml:space="preserve">Дата составления аудиторского заключения или иного документа, составленного по результатам проверки консолидированной финансовой отчетности эмитента в соответствии со стандартами аудиторской деятельности: </w:t>
            </w:r>
            <w:r w:rsidRPr="00CA7FB3">
              <w:rPr>
                <w:rFonts w:eastAsiaTheme="minorHAnsi"/>
                <w:b/>
                <w:bCs/>
                <w:i/>
                <w:iCs/>
                <w:sz w:val="22"/>
                <w:lang w:eastAsia="en-US"/>
              </w:rPr>
              <w:t>13.03.2020</w:t>
            </w:r>
          </w:p>
          <w:p w:rsidR="00CA7FB3" w:rsidRPr="00721B0D" w:rsidRDefault="00CA7FB3" w:rsidP="00DB0952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eastAsia="en-US"/>
              </w:rPr>
            </w:pPr>
            <w:r w:rsidRPr="00CA7FB3">
              <w:rPr>
                <w:rFonts w:eastAsiaTheme="minorHAnsi"/>
                <w:bCs/>
                <w:sz w:val="22"/>
                <w:lang w:eastAsia="en-US"/>
              </w:rPr>
              <w:t xml:space="preserve">2.8. </w:t>
            </w:r>
            <w:r w:rsidRPr="00CA7FB3">
              <w:rPr>
                <w:rFonts w:eastAsiaTheme="minorHAnsi"/>
                <w:bCs/>
                <w:iCs/>
                <w:sz w:val="22"/>
                <w:lang w:eastAsia="en-US"/>
              </w:rPr>
              <w:t>Дата опубликования эмитентом на странице в сети Интернет текста консолидированной финансовой отчетности, а также текста аудиторского заключения или иного документа, составленного по результатам проверки такой отчетности в соответствии со стандартами аудиторской деятельности</w:t>
            </w:r>
            <w:r w:rsidRPr="00CA7FB3">
              <w:rPr>
                <w:rFonts w:eastAsiaTheme="minorHAnsi"/>
                <w:bCs/>
                <w:sz w:val="22"/>
                <w:lang w:eastAsia="en-US"/>
              </w:rPr>
              <w:t xml:space="preserve">: </w:t>
            </w:r>
            <w:r w:rsidRPr="00CA7FB3">
              <w:rPr>
                <w:rFonts w:eastAsiaTheme="minorHAnsi"/>
                <w:b/>
                <w:bCs/>
                <w:i/>
                <w:sz w:val="22"/>
                <w:lang w:eastAsia="en-US"/>
              </w:rPr>
              <w:t>16 марта 2020 года.</w:t>
            </w:r>
          </w:p>
        </w:tc>
      </w:tr>
      <w:tr w:rsidR="00CA7FB3" w:rsidRPr="00721B0D" w:rsidTr="00DB0952">
        <w:tc>
          <w:tcPr>
            <w:tcW w:w="10456" w:type="dxa"/>
            <w:gridSpan w:val="2"/>
          </w:tcPr>
          <w:p w:rsidR="00CA7FB3" w:rsidRPr="00721B0D" w:rsidRDefault="00CA7FB3" w:rsidP="00DB0952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</w:rPr>
              <w:lastRenderedPageBreak/>
              <w:t>3. Подпись</w:t>
            </w:r>
          </w:p>
        </w:tc>
      </w:tr>
      <w:tr w:rsidR="00CA7FB3" w:rsidRPr="00A32CCA" w:rsidTr="00DB0952">
        <w:tc>
          <w:tcPr>
            <w:tcW w:w="10456" w:type="dxa"/>
            <w:gridSpan w:val="2"/>
          </w:tcPr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</w:rPr>
              <w:t xml:space="preserve">3.1.Начальник департамента </w:t>
            </w:r>
          </w:p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</w:rPr>
              <w:t>корпоративного управления</w:t>
            </w:r>
          </w:p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</w:rPr>
              <w:t>и взаимодействия с акционерами                          ______________________       Е.Е. Диденко</w:t>
            </w:r>
          </w:p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</w:rPr>
              <w:t>(</w:t>
            </w:r>
            <w:r w:rsidRPr="00721B0D">
              <w:rPr>
                <w:rFonts w:ascii="Times New Roman" w:eastAsia="Calibri" w:hAnsi="Times New Roman" w:cs="Times New Roman"/>
              </w:rPr>
              <w:t xml:space="preserve">по доверенности </w:t>
            </w:r>
            <w:r w:rsidRPr="00721B0D">
              <w:rPr>
                <w:rFonts w:ascii="Times New Roman" w:hAnsi="Times New Roman" w:cs="Times New Roman"/>
              </w:rPr>
              <w:t xml:space="preserve">№23/256-н/23-2020-4-130 от 23.01.2020)                    (подпись)                  </w:t>
            </w:r>
          </w:p>
          <w:p w:rsidR="00CA7FB3" w:rsidRPr="00721B0D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</w:rPr>
              <w:t xml:space="preserve">          </w:t>
            </w:r>
          </w:p>
          <w:p w:rsidR="00CA7FB3" w:rsidRPr="0034054C" w:rsidRDefault="00CA7FB3" w:rsidP="00DB0952">
            <w:pPr>
              <w:pStyle w:val="a3"/>
              <w:rPr>
                <w:rFonts w:ascii="Times New Roman" w:hAnsi="Times New Roman" w:cs="Times New Roman"/>
              </w:rPr>
            </w:pPr>
            <w:r w:rsidRPr="00721B0D">
              <w:rPr>
                <w:rFonts w:ascii="Times New Roman" w:hAnsi="Times New Roman" w:cs="Times New Roman"/>
              </w:rPr>
              <w:t>3.2. Дата  «16» марта  2020 г.                         М.П.</w:t>
            </w:r>
          </w:p>
        </w:tc>
      </w:tr>
    </w:tbl>
    <w:p w:rsidR="00CA7FB3" w:rsidRDefault="00CA7FB3" w:rsidP="00CA7FB3">
      <w:pPr>
        <w:jc w:val="center"/>
        <w:rPr>
          <w:sz w:val="22"/>
          <w:szCs w:val="22"/>
        </w:rPr>
      </w:pPr>
    </w:p>
    <w:p w:rsidR="00CA7FB3" w:rsidRPr="00A32CCA" w:rsidRDefault="00CA7FB3" w:rsidP="00CA7FB3">
      <w:pPr>
        <w:jc w:val="center"/>
        <w:rPr>
          <w:sz w:val="22"/>
          <w:szCs w:val="22"/>
        </w:rPr>
      </w:pPr>
    </w:p>
    <w:p w:rsidR="00CA7FB3" w:rsidRPr="00A32CCA" w:rsidRDefault="00CA7FB3" w:rsidP="00E1266D">
      <w:pPr>
        <w:jc w:val="center"/>
        <w:rPr>
          <w:sz w:val="22"/>
          <w:szCs w:val="22"/>
        </w:rPr>
      </w:pPr>
    </w:p>
    <w:sectPr w:rsidR="00CA7FB3" w:rsidRPr="00A32CCA" w:rsidSect="00CA7FB3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6AC0830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473AF"/>
    <w:rsid w:val="000501F2"/>
    <w:rsid w:val="0010487A"/>
    <w:rsid w:val="001148E0"/>
    <w:rsid w:val="00193362"/>
    <w:rsid w:val="001C4683"/>
    <w:rsid w:val="0020349D"/>
    <w:rsid w:val="00230C78"/>
    <w:rsid w:val="00271F6A"/>
    <w:rsid w:val="002857E4"/>
    <w:rsid w:val="002A45DD"/>
    <w:rsid w:val="002D1BD1"/>
    <w:rsid w:val="002E4BF1"/>
    <w:rsid w:val="0034054C"/>
    <w:rsid w:val="00355E6B"/>
    <w:rsid w:val="00371BC8"/>
    <w:rsid w:val="00393C50"/>
    <w:rsid w:val="003A6E97"/>
    <w:rsid w:val="003B1C79"/>
    <w:rsid w:val="003F332B"/>
    <w:rsid w:val="003F57CD"/>
    <w:rsid w:val="00402154"/>
    <w:rsid w:val="0040659B"/>
    <w:rsid w:val="00433FC0"/>
    <w:rsid w:val="0045226D"/>
    <w:rsid w:val="004C0FB3"/>
    <w:rsid w:val="004F1584"/>
    <w:rsid w:val="00544E38"/>
    <w:rsid w:val="0054654A"/>
    <w:rsid w:val="005C38EE"/>
    <w:rsid w:val="005D36EB"/>
    <w:rsid w:val="005F04D2"/>
    <w:rsid w:val="005F1291"/>
    <w:rsid w:val="00601872"/>
    <w:rsid w:val="00603716"/>
    <w:rsid w:val="0067086A"/>
    <w:rsid w:val="006804F6"/>
    <w:rsid w:val="0068193A"/>
    <w:rsid w:val="006C386B"/>
    <w:rsid w:val="006E51FC"/>
    <w:rsid w:val="00721B0D"/>
    <w:rsid w:val="007419E1"/>
    <w:rsid w:val="00755A8C"/>
    <w:rsid w:val="00777A04"/>
    <w:rsid w:val="00785493"/>
    <w:rsid w:val="0079410B"/>
    <w:rsid w:val="007B02CA"/>
    <w:rsid w:val="007C3012"/>
    <w:rsid w:val="008113CB"/>
    <w:rsid w:val="008364E0"/>
    <w:rsid w:val="008D7E5D"/>
    <w:rsid w:val="00905E44"/>
    <w:rsid w:val="00906DBD"/>
    <w:rsid w:val="00912C2F"/>
    <w:rsid w:val="00951436"/>
    <w:rsid w:val="0096350D"/>
    <w:rsid w:val="009B06FC"/>
    <w:rsid w:val="009C3FB1"/>
    <w:rsid w:val="009D54F0"/>
    <w:rsid w:val="009E1CE9"/>
    <w:rsid w:val="009E711C"/>
    <w:rsid w:val="009F747D"/>
    <w:rsid w:val="009F768D"/>
    <w:rsid w:val="00A00402"/>
    <w:rsid w:val="00A32CCA"/>
    <w:rsid w:val="00A37B7C"/>
    <w:rsid w:val="00A83CCA"/>
    <w:rsid w:val="00A929D0"/>
    <w:rsid w:val="00AC5336"/>
    <w:rsid w:val="00AD52FB"/>
    <w:rsid w:val="00AE0126"/>
    <w:rsid w:val="00B00862"/>
    <w:rsid w:val="00B25563"/>
    <w:rsid w:val="00B62FEC"/>
    <w:rsid w:val="00B82F0B"/>
    <w:rsid w:val="00B96624"/>
    <w:rsid w:val="00BD21FB"/>
    <w:rsid w:val="00BE4CFE"/>
    <w:rsid w:val="00C11F0A"/>
    <w:rsid w:val="00C16D1F"/>
    <w:rsid w:val="00C35803"/>
    <w:rsid w:val="00C433CB"/>
    <w:rsid w:val="00C76CE5"/>
    <w:rsid w:val="00C90002"/>
    <w:rsid w:val="00CA299E"/>
    <w:rsid w:val="00CA7FB3"/>
    <w:rsid w:val="00CB51E4"/>
    <w:rsid w:val="00CD2421"/>
    <w:rsid w:val="00D07D72"/>
    <w:rsid w:val="00D33565"/>
    <w:rsid w:val="00D33EAB"/>
    <w:rsid w:val="00D64F2E"/>
    <w:rsid w:val="00D92460"/>
    <w:rsid w:val="00DB4864"/>
    <w:rsid w:val="00DE30FD"/>
    <w:rsid w:val="00E1266D"/>
    <w:rsid w:val="00E14EDF"/>
    <w:rsid w:val="00E340D6"/>
    <w:rsid w:val="00E84FA4"/>
    <w:rsid w:val="00EC1284"/>
    <w:rsid w:val="00ED58A4"/>
    <w:rsid w:val="00EF0A1F"/>
    <w:rsid w:val="00EF2FFD"/>
    <w:rsid w:val="00EF5903"/>
    <w:rsid w:val="00F3093E"/>
    <w:rsid w:val="00F719A5"/>
    <w:rsid w:val="00F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9410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A8C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D33EAB"/>
    <w:pPr>
      <w:autoSpaceDE/>
      <w:autoSpaceDN/>
      <w:spacing w:before="100" w:beforeAutospacing="1" w:after="100" w:afterAutospacing="1"/>
    </w:pPr>
  </w:style>
  <w:style w:type="character" w:customStyle="1" w:styleId="headertext1">
    <w:name w:val="headertext1"/>
    <w:basedOn w:val="a0"/>
    <w:rsid w:val="00EF2FFD"/>
    <w:rPr>
      <w:rFonts w:ascii="Tahoma" w:hAnsi="Tahoma" w:cs="Tahoma" w:hint="default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9410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A8C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D33EAB"/>
    <w:pPr>
      <w:autoSpaceDE/>
      <w:autoSpaceDN/>
      <w:spacing w:before="100" w:beforeAutospacing="1" w:after="100" w:afterAutospacing="1"/>
    </w:pPr>
  </w:style>
  <w:style w:type="character" w:customStyle="1" w:styleId="headertext1">
    <w:name w:val="headertext1"/>
    <w:basedOn w:val="a0"/>
    <w:rsid w:val="00EF2FFD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10</cp:revision>
  <cp:lastPrinted>2020-04-11T15:27:00Z</cp:lastPrinted>
  <dcterms:created xsi:type="dcterms:W3CDTF">2020-03-16T05:18:00Z</dcterms:created>
  <dcterms:modified xsi:type="dcterms:W3CDTF">2020-04-11T15:39:00Z</dcterms:modified>
</cp:coreProperties>
</file>