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DA" w:rsidRPr="008515DA" w:rsidRDefault="008515DA" w:rsidP="008515DA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8515DA">
        <w:rPr>
          <w:b/>
          <w:bCs/>
          <w:sz w:val="26"/>
          <w:szCs w:val="26"/>
          <w:lang w:val="en-US"/>
        </w:rPr>
        <w:t xml:space="preserve">Corporate action notification </w:t>
      </w:r>
    </w:p>
    <w:p w:rsidR="008515DA" w:rsidRPr="008515DA" w:rsidRDefault="008515DA" w:rsidP="008515DA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8515DA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8515DA" w:rsidRPr="008515DA" w:rsidRDefault="008515DA" w:rsidP="008515DA">
      <w:pPr>
        <w:jc w:val="center"/>
        <w:rPr>
          <w:b/>
          <w:bCs/>
          <w:sz w:val="26"/>
          <w:szCs w:val="26"/>
          <w:lang w:val="en-US"/>
        </w:rPr>
      </w:pPr>
      <w:r w:rsidRPr="008515DA">
        <w:rPr>
          <w:b/>
          <w:bCs/>
          <w:sz w:val="26"/>
          <w:szCs w:val="26"/>
        </w:rPr>
        <w:t>(</w:t>
      </w:r>
      <w:r w:rsidRPr="008515DA">
        <w:rPr>
          <w:b/>
          <w:bCs/>
          <w:sz w:val="26"/>
          <w:szCs w:val="26"/>
          <w:lang w:val="en-US"/>
        </w:rPr>
        <w:t>disclosure of insider information</w:t>
      </w:r>
      <w:r w:rsidRPr="008515DA">
        <w:rPr>
          <w:b/>
          <w:bCs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670F78" w:rsidRPr="00670F78" w:rsidTr="00BD1C47">
        <w:tc>
          <w:tcPr>
            <w:tcW w:w="10490" w:type="dxa"/>
            <w:gridSpan w:val="2"/>
          </w:tcPr>
          <w:p w:rsidR="0045226D" w:rsidRPr="00670F78" w:rsidRDefault="008515DA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670F78" w:rsidRPr="00DC42B7" w:rsidTr="00BD1C47">
        <w:trPr>
          <w:trHeight w:val="599"/>
        </w:trPr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1.1 Full corporate name of the issuer</w:t>
            </w:r>
          </w:p>
        </w:tc>
        <w:tc>
          <w:tcPr>
            <w:tcW w:w="6237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670F78" w:rsidRPr="00670F78" w:rsidTr="00BD1C47"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670F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670F78" w:rsidRPr="00670F78" w:rsidTr="00BD1C47">
        <w:trPr>
          <w:trHeight w:val="412"/>
        </w:trPr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DD29A6" w:rsidRPr="00670F78" w:rsidRDefault="00DD29A6" w:rsidP="00333D8D">
            <w:pPr>
              <w:jc w:val="both"/>
              <w:rPr>
                <w:sz w:val="26"/>
                <w:szCs w:val="26"/>
                <w:lang w:val="en-US"/>
              </w:rPr>
            </w:pPr>
            <w:r w:rsidRPr="00670F78">
              <w:rPr>
                <w:sz w:val="26"/>
                <w:szCs w:val="26"/>
                <w:lang w:val="en-US"/>
              </w:rPr>
              <w:t>the Russian Federation, Krasnodar</w:t>
            </w:r>
          </w:p>
          <w:p w:rsidR="00DD29A6" w:rsidRPr="00670F78" w:rsidRDefault="00DD29A6" w:rsidP="00333D8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670F78" w:rsidRPr="00670F78" w:rsidTr="00BD1C47"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670F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DD29A6" w:rsidRPr="00670F78" w:rsidRDefault="00DD29A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670F78" w:rsidRPr="00670F78" w:rsidTr="00BD1C47"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DD29A6" w:rsidRPr="00670F78" w:rsidRDefault="00DD29A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670F78" w:rsidRPr="00670F78" w:rsidTr="00BD1C47"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DD29A6" w:rsidRPr="00670F78" w:rsidRDefault="00DD29A6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670F78" w:rsidRPr="00DC42B7" w:rsidTr="00BD1C47">
        <w:tc>
          <w:tcPr>
            <w:tcW w:w="4253" w:type="dxa"/>
          </w:tcPr>
          <w:p w:rsidR="00DD29A6" w:rsidRPr="00670F78" w:rsidRDefault="00DD29A6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DD29A6" w:rsidRPr="00DC42B7" w:rsidRDefault="00DD29A6" w:rsidP="006A7084">
            <w:pPr>
              <w:rPr>
                <w:sz w:val="26"/>
                <w:szCs w:val="26"/>
                <w:lang w:val="en-US"/>
              </w:rPr>
            </w:pPr>
            <w:r w:rsidRPr="00670F78">
              <w:rPr>
                <w:sz w:val="26"/>
                <w:szCs w:val="26"/>
                <w:lang w:val="en-US"/>
              </w:rPr>
              <w:t>http</w:t>
            </w:r>
            <w:r w:rsidRPr="00DC42B7">
              <w:rPr>
                <w:sz w:val="26"/>
                <w:szCs w:val="26"/>
                <w:lang w:val="en-US"/>
              </w:rPr>
              <w:t>://</w:t>
            </w:r>
            <w:r w:rsidR="00690BAE">
              <w:fldChar w:fldCharType="begin"/>
            </w:r>
            <w:r w:rsidR="00690BAE" w:rsidRPr="00DC42B7">
              <w:rPr>
                <w:lang w:val="en-US"/>
              </w:rPr>
              <w:instrText xml:space="preserve"> HYPERLINK "http://www.kubanenergo.ru" </w:instrText>
            </w:r>
            <w:r w:rsidR="00690BAE">
              <w:fldChar w:fldCharType="separate"/>
            </w:r>
            <w:r w:rsidRPr="00670F78">
              <w:rPr>
                <w:sz w:val="26"/>
                <w:szCs w:val="26"/>
                <w:lang w:val="en-US"/>
              </w:rPr>
              <w:t>www</w:t>
            </w:r>
            <w:r w:rsidRPr="00DC42B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70F78">
              <w:rPr>
                <w:sz w:val="26"/>
                <w:szCs w:val="26"/>
                <w:lang w:val="en-US"/>
              </w:rPr>
              <w:t>kubanenergo</w:t>
            </w:r>
            <w:proofErr w:type="spellEnd"/>
            <w:r w:rsidRPr="00DC42B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70F78">
              <w:rPr>
                <w:sz w:val="26"/>
                <w:szCs w:val="26"/>
                <w:lang w:val="en-US"/>
              </w:rPr>
              <w:t>ru</w:t>
            </w:r>
            <w:proofErr w:type="spellEnd"/>
            <w:r w:rsidR="00690BAE">
              <w:rPr>
                <w:sz w:val="26"/>
                <w:szCs w:val="26"/>
                <w:lang w:val="en-US"/>
              </w:rPr>
              <w:fldChar w:fldCharType="end"/>
            </w:r>
            <w:r w:rsidRPr="00DC42B7">
              <w:rPr>
                <w:sz w:val="26"/>
                <w:szCs w:val="26"/>
                <w:lang w:val="en-US"/>
              </w:rPr>
              <w:t xml:space="preserve">  </w:t>
            </w:r>
          </w:p>
          <w:p w:rsidR="00DD29A6" w:rsidRPr="00DC42B7" w:rsidRDefault="00690BAE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fldChar w:fldCharType="begin"/>
            </w:r>
            <w:r w:rsidRPr="00DC42B7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DD29A6" w:rsidRPr="00DC42B7">
              <w:rPr>
                <w:rStyle w:val="af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http://www.e-disclosure.ru/portal/company.aspx?id=2827</w:t>
            </w:r>
            <w:r>
              <w:rPr>
                <w:rStyle w:val="af4"/>
                <w:rFonts w:ascii="Times New Roman" w:hAnsi="Times New Roman" w:cs="Times New Roman"/>
                <w:color w:val="auto"/>
                <w:sz w:val="26"/>
                <w:szCs w:val="26"/>
              </w:rPr>
              <w:fldChar w:fldCharType="end"/>
            </w:r>
            <w:r w:rsidR="00DD29A6" w:rsidRPr="00DC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DD29A6" w:rsidRPr="00DC42B7" w:rsidRDefault="00DD29A6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70F78" w:rsidRPr="00670F78" w:rsidTr="00BD1C47">
        <w:tc>
          <w:tcPr>
            <w:tcW w:w="4253" w:type="dxa"/>
          </w:tcPr>
          <w:p w:rsidR="00DD29A6" w:rsidRPr="00670F78" w:rsidRDefault="00DD29A6" w:rsidP="00333D8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670F78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DD29A6" w:rsidRPr="00DC42B7" w:rsidRDefault="00DD29A6" w:rsidP="00E96964">
            <w:pPr>
              <w:rPr>
                <w:sz w:val="26"/>
                <w:szCs w:val="26"/>
                <w:lang w:val="en-US"/>
              </w:rPr>
            </w:pPr>
            <w:r w:rsidRPr="00670F78">
              <w:rPr>
                <w:sz w:val="26"/>
                <w:szCs w:val="26"/>
                <w:lang w:val="en-US"/>
              </w:rPr>
              <w:t xml:space="preserve">April 13, </w:t>
            </w:r>
            <w:r w:rsidRPr="00670F78">
              <w:rPr>
                <w:sz w:val="26"/>
                <w:szCs w:val="26"/>
              </w:rPr>
              <w:t>2020</w:t>
            </w:r>
          </w:p>
        </w:tc>
      </w:tr>
      <w:tr w:rsidR="00670F78" w:rsidRPr="00670F78" w:rsidTr="00BD1C47">
        <w:tc>
          <w:tcPr>
            <w:tcW w:w="10490" w:type="dxa"/>
            <w:gridSpan w:val="2"/>
          </w:tcPr>
          <w:p w:rsidR="00E57436" w:rsidRPr="00670F78" w:rsidRDefault="00E57436" w:rsidP="008515DA">
            <w:pPr>
              <w:jc w:val="center"/>
              <w:rPr>
                <w:sz w:val="26"/>
                <w:szCs w:val="26"/>
                <w:lang w:val="en-US"/>
              </w:rPr>
            </w:pPr>
            <w:r w:rsidRPr="00670F78">
              <w:rPr>
                <w:sz w:val="26"/>
                <w:szCs w:val="26"/>
              </w:rPr>
              <w:t xml:space="preserve">2. </w:t>
            </w:r>
            <w:r w:rsidR="008515DA" w:rsidRPr="00670F78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670F78" w:rsidRPr="00670F78" w:rsidTr="00E96964">
        <w:trPr>
          <w:trHeight w:val="2833"/>
        </w:trPr>
        <w:tc>
          <w:tcPr>
            <w:tcW w:w="10490" w:type="dxa"/>
            <w:gridSpan w:val="2"/>
          </w:tcPr>
          <w:p w:rsidR="008515DA" w:rsidRPr="00670F78" w:rsidRDefault="004D0A6C" w:rsidP="008515D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8515DA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quorum for the meeting of the Issuers’ Board of Directors and election returns on decision making: </w:t>
            </w:r>
          </w:p>
          <w:p w:rsidR="008515DA" w:rsidRPr="008515DA" w:rsidRDefault="008515DA" w:rsidP="008515DA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8515DA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of the Board of Directors: eleven (11) in number.</w:t>
            </w:r>
          </w:p>
          <w:p w:rsidR="008515DA" w:rsidRPr="008515DA" w:rsidRDefault="008515DA" w:rsidP="008515DA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8515DA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participated in the meeting: eleven (11) in number.</w:t>
            </w:r>
          </w:p>
          <w:p w:rsidR="008515DA" w:rsidRPr="008515DA" w:rsidRDefault="008515DA" w:rsidP="008515DA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8515DA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The quorum of PJSC Kubanenergo Board of Directors is present.</w:t>
            </w:r>
          </w:p>
          <w:p w:rsidR="008515DA" w:rsidRPr="008515DA" w:rsidRDefault="008515DA" w:rsidP="008515DA">
            <w:pPr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lang w:eastAsia="en-US"/>
              </w:rPr>
            </w:pPr>
            <w:r w:rsidRPr="008515DA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Election</w:t>
            </w:r>
            <w:r w:rsidRPr="008515DA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8515DA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returns</w:t>
            </w:r>
            <w:r w:rsidRPr="008515DA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670F78" w:rsidRPr="00670F78" w:rsidTr="00333D8D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  <w:t>Number of votes</w:t>
                  </w:r>
                </w:p>
              </w:tc>
            </w:tr>
            <w:tr w:rsidR="00670F78" w:rsidRPr="00670F78" w:rsidTr="00333D8D">
              <w:trPr>
                <w:jc w:val="center"/>
              </w:trPr>
              <w:tc>
                <w:tcPr>
                  <w:tcW w:w="1339" w:type="dxa"/>
                  <w:vMerge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633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val="en-US" w:eastAsia="en-US"/>
                    </w:rPr>
                    <w:t>“Abstain”</w:t>
                  </w:r>
                </w:p>
              </w:tc>
            </w:tr>
            <w:tr w:rsidR="00670F78" w:rsidRPr="00670F78" w:rsidTr="00333D8D">
              <w:trPr>
                <w:jc w:val="center"/>
              </w:trPr>
              <w:tc>
                <w:tcPr>
                  <w:tcW w:w="1339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  <w:r w:rsidRPr="008515DA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680" w:type="dxa"/>
                </w:tcPr>
                <w:p w:rsidR="008515DA" w:rsidRPr="008515DA" w:rsidRDefault="008515DA" w:rsidP="008515DA">
                  <w:pPr>
                    <w:autoSpaceDE/>
                    <w:autoSpaceDN/>
                    <w:jc w:val="center"/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D0A6C" w:rsidRPr="00670F7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F78" w:rsidRPr="00DC42B7" w:rsidTr="00BD1C47">
        <w:tc>
          <w:tcPr>
            <w:tcW w:w="10490" w:type="dxa"/>
            <w:gridSpan w:val="2"/>
          </w:tcPr>
          <w:p w:rsidR="008515DA" w:rsidRPr="00DC42B7" w:rsidRDefault="008515DA" w:rsidP="008515DA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C42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 of insid</w:t>
            </w:r>
            <w:bookmarkStart w:id="0" w:name="_GoBack"/>
            <w:bookmarkEnd w:id="0"/>
            <w:r w:rsidRPr="00DC42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er information</w:t>
            </w:r>
          </w:p>
          <w:p w:rsidR="004D0A6C" w:rsidRPr="00670F78" w:rsidRDefault="008515DA" w:rsidP="008515DA">
            <w:pPr>
              <w:jc w:val="both"/>
              <w:rPr>
                <w:sz w:val="26"/>
                <w:szCs w:val="26"/>
                <w:lang w:val="en-US"/>
              </w:rPr>
            </w:pPr>
            <w:r w:rsidRPr="00670F78">
              <w:rPr>
                <w:b/>
                <w:sz w:val="26"/>
                <w:szCs w:val="26"/>
                <w:lang w:val="en-US"/>
              </w:rPr>
              <w:t xml:space="preserve">Item No. </w:t>
            </w:r>
            <w:r w:rsidR="00275923" w:rsidRPr="00670F78">
              <w:rPr>
                <w:b/>
                <w:sz w:val="26"/>
                <w:szCs w:val="26"/>
                <w:lang w:val="en-US"/>
              </w:rPr>
              <w:t>1</w:t>
            </w:r>
            <w:r w:rsidR="002028D3" w:rsidRPr="00670F78">
              <w:rPr>
                <w:b/>
                <w:sz w:val="26"/>
                <w:szCs w:val="26"/>
                <w:lang w:val="en-US"/>
              </w:rPr>
              <w:t xml:space="preserve"> “</w:t>
            </w:r>
            <w:r w:rsidR="002028D3" w:rsidRPr="00670F78">
              <w:rPr>
                <w:b/>
                <w:bCs/>
                <w:i/>
                <w:sz w:val="26"/>
                <w:szCs w:val="26"/>
                <w:lang w:val="en-US"/>
              </w:rPr>
              <w:t>Procedures for preparing and holding the Annual General Meeting of Shareholders of the Company”</w:t>
            </w:r>
            <w:r w:rsidR="00E474E2" w:rsidRPr="00670F78">
              <w:rPr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</w:tr>
      <w:tr w:rsidR="00670F78" w:rsidRPr="00DC42B7" w:rsidTr="00BD1C47">
        <w:trPr>
          <w:trHeight w:val="1036"/>
        </w:trPr>
        <w:tc>
          <w:tcPr>
            <w:tcW w:w="10490" w:type="dxa"/>
            <w:gridSpan w:val="2"/>
          </w:tcPr>
          <w:p w:rsidR="008515DA" w:rsidRPr="00670F78" w:rsidRDefault="00471361" w:rsidP="008515D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C42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8515DA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471361" w:rsidRPr="00670F78" w:rsidRDefault="00554FB3" w:rsidP="00554FB3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In accordance with Section 2 of Federal Law of March 18, 2020 No.50-FZ. t</w:t>
            </w:r>
            <w:r w:rsidR="00005FDC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o assign the chief executive officer (CEO)</w:t>
            </w:r>
            <w:r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of the Company</w:t>
            </w:r>
            <w:r w:rsidR="00005FDC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to provide</w:t>
            </w:r>
            <w:r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the preparation of required materials for adopting the decision by the Board of Directors concerning the </w:t>
            </w:r>
            <w:r w:rsidR="00842C43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holding the Annual General Meeting of Shareholders</w:t>
            </w:r>
            <w:r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in the form of absentee voting f</w:t>
            </w:r>
            <w:r w:rsidR="00D035A5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or the purpose of </w:t>
            </w:r>
            <w:r w:rsidR="00DD29A6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prevent</w:t>
            </w:r>
            <w:r w:rsidR="00D035A5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ing the</w:t>
            </w:r>
            <w:r w:rsidR="00005FDC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seasonal</w:t>
            </w:r>
            <w:r w:rsidR="00D035A5"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spread of severe acute respiratory</w:t>
            </w:r>
            <w:r w:rsidRPr="00670F78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syndrome (SARS) in the Company.</w:t>
            </w:r>
          </w:p>
          <w:p w:rsidR="00A36A89" w:rsidRPr="00DC42B7" w:rsidRDefault="00A36A89" w:rsidP="00A36A89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</w:p>
          <w:p w:rsidR="00A36A89" w:rsidRPr="00670F78" w:rsidRDefault="003B1345" w:rsidP="00A36A89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>I</w:t>
            </w:r>
            <w:r w:rsidR="00106229"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dentification characteristics of </w:t>
            </w: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>securities:</w:t>
            </w:r>
          </w:p>
          <w:p w:rsidR="00A36A89" w:rsidRPr="00670F78" w:rsidRDefault="002028D3" w:rsidP="002028D3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>T</w:t>
            </w:r>
            <w:r w:rsidR="003B1345" w:rsidRPr="00670F78">
              <w:rPr>
                <w:bCs/>
                <w:i/>
                <w:iCs/>
                <w:sz w:val="23"/>
                <w:szCs w:val="23"/>
                <w:lang w:val="en-US"/>
              </w:rPr>
              <w:t>ype</w:t>
            </w: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 and</w:t>
            </w:r>
            <w:r w:rsidR="003B1345"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 category: </w:t>
            </w:r>
            <w:r w:rsidRPr="00670F78">
              <w:rPr>
                <w:b/>
                <w:bCs/>
                <w:i/>
                <w:iCs/>
                <w:sz w:val="23"/>
                <w:szCs w:val="23"/>
                <w:lang w:val="en-US"/>
              </w:rPr>
              <w:t xml:space="preserve">ordinary registered </w:t>
            </w:r>
            <w:r w:rsidR="003B1345" w:rsidRPr="00670F78">
              <w:rPr>
                <w:b/>
                <w:bCs/>
                <w:i/>
                <w:iCs/>
                <w:sz w:val="23"/>
                <w:szCs w:val="23"/>
                <w:lang w:val="en-US"/>
              </w:rPr>
              <w:t>share</w:t>
            </w:r>
            <w:r w:rsidR="00A838E7" w:rsidRPr="00670F78">
              <w:rPr>
                <w:bCs/>
                <w:i/>
                <w:iCs/>
                <w:sz w:val="23"/>
                <w:szCs w:val="23"/>
                <w:lang w:val="en-US"/>
              </w:rPr>
              <w:t>, state registration number of the issue (additional issue) of securities</w:t>
            </w:r>
            <w:r w:rsidR="00554FB3"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A838E7" w:rsidRPr="00670F78">
              <w:rPr>
                <w:bCs/>
                <w:i/>
                <w:iCs/>
                <w:sz w:val="23"/>
                <w:szCs w:val="23"/>
                <w:lang w:val="en-US"/>
              </w:rPr>
              <w:t>and state registration date (ID number of the issue (</w:t>
            </w: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additional issue) of securities </w:t>
            </w:r>
            <w:r w:rsidR="00A838E7" w:rsidRPr="00670F78">
              <w:rPr>
                <w:bCs/>
                <w:i/>
                <w:iCs/>
                <w:sz w:val="23"/>
                <w:szCs w:val="23"/>
                <w:lang w:val="en-US"/>
              </w:rPr>
              <w:t>and date of assignment): 1-02-00063-A of July 08, 2003 International Securities Identification Number (ISIN)</w:t>
            </w:r>
            <w:r w:rsidRPr="00670F78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A838E7" w:rsidRPr="00670F78">
              <w:rPr>
                <w:bCs/>
                <w:i/>
                <w:iCs/>
                <w:sz w:val="23"/>
                <w:szCs w:val="23"/>
                <w:lang w:val="en-US"/>
              </w:rPr>
              <w:t>(if applicable): RU0009046767</w:t>
            </w:r>
            <w:r w:rsidR="00554FB3" w:rsidRPr="00670F78"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</w:tc>
      </w:tr>
      <w:tr w:rsidR="00670F78" w:rsidRPr="00DC42B7" w:rsidTr="00BD1C47">
        <w:tc>
          <w:tcPr>
            <w:tcW w:w="10490" w:type="dxa"/>
            <w:gridSpan w:val="2"/>
            <w:shd w:val="clear" w:color="auto" w:fill="auto"/>
          </w:tcPr>
          <w:p w:rsidR="00741003" w:rsidRPr="00670F78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8515DA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 Issuer’s Board of Directors at which the relevant resolutions were passed</w:t>
            </w:r>
            <w:r w:rsidR="00763856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DD29A6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April 10, 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2028D3" w:rsidRPr="00670F78" w:rsidRDefault="00741003" w:rsidP="00DD29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DD29A6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 Issuer’s Board of Directors at which the relevant resolutions were passed</w:t>
            </w:r>
            <w:r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DD29A6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D29A6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April 13, 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DD29A6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No. </w:t>
            </w:r>
            <w:r w:rsidR="00E748F7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225C50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8</w:t>
            </w:r>
            <w:r w:rsidR="00E96964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4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</w:t>
            </w:r>
            <w:r w:rsidR="00BE1A14"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670F7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670F78" w:rsidRPr="00670F78" w:rsidTr="00BD1C47">
        <w:tc>
          <w:tcPr>
            <w:tcW w:w="10490" w:type="dxa"/>
            <w:gridSpan w:val="2"/>
          </w:tcPr>
          <w:p w:rsidR="00741003" w:rsidRPr="00670F78" w:rsidRDefault="00741003" w:rsidP="008515DA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0F7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8515DA" w:rsidRPr="00670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6537DD" w:rsidTr="00BD1C47">
        <w:trPr>
          <w:trHeight w:val="1357"/>
        </w:trPr>
        <w:tc>
          <w:tcPr>
            <w:tcW w:w="10490" w:type="dxa"/>
            <w:gridSpan w:val="2"/>
          </w:tcPr>
          <w:p w:rsidR="008515DA" w:rsidRPr="00856D9F" w:rsidRDefault="005D2945" w:rsidP="008515DA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15DA">
              <w:rPr>
                <w:sz w:val="26"/>
                <w:szCs w:val="26"/>
                <w:lang w:val="en-US"/>
              </w:rPr>
              <w:lastRenderedPageBreak/>
              <w:t xml:space="preserve">3.1. </w:t>
            </w:r>
            <w:r w:rsidR="008515DA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5D2945" w:rsidRPr="008515DA" w:rsidRDefault="008515DA" w:rsidP="008515DA">
            <w:pPr>
              <w:rPr>
                <w:sz w:val="26"/>
                <w:szCs w:val="26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3F3556" w:rsidRPr="008515DA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8515DA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8515DA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</w:p>
          <w:p w:rsidR="005D2945" w:rsidRPr="008515DA" w:rsidRDefault="005D2945" w:rsidP="005D2945">
            <w:pPr>
              <w:rPr>
                <w:sz w:val="26"/>
                <w:szCs w:val="26"/>
                <w:lang w:val="en-US"/>
              </w:rPr>
            </w:pPr>
            <w:r w:rsidRPr="008515DA">
              <w:rPr>
                <w:sz w:val="26"/>
                <w:szCs w:val="26"/>
                <w:lang w:val="en-US"/>
              </w:rPr>
              <w:t>(</w:t>
            </w:r>
            <w:r w:rsidR="008515DA">
              <w:rPr>
                <w:sz w:val="26"/>
                <w:szCs w:val="26"/>
                <w:lang w:val="en-US"/>
              </w:rPr>
              <w:t xml:space="preserve">per procuration No. </w:t>
            </w:r>
            <w:r w:rsidRPr="008515DA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8515DA">
              <w:rPr>
                <w:sz w:val="26"/>
                <w:szCs w:val="26"/>
                <w:lang w:val="en-US"/>
              </w:rPr>
              <w:t>/23-20</w:t>
            </w:r>
            <w:r w:rsidR="003F3556" w:rsidRPr="008515DA">
              <w:rPr>
                <w:sz w:val="26"/>
                <w:szCs w:val="26"/>
                <w:lang w:val="en-US"/>
              </w:rPr>
              <w:t>20</w:t>
            </w:r>
            <w:r w:rsidRPr="008515DA">
              <w:rPr>
                <w:sz w:val="26"/>
                <w:szCs w:val="26"/>
                <w:lang w:val="en-US"/>
              </w:rPr>
              <w:t>-</w:t>
            </w:r>
            <w:r w:rsidR="003F3556" w:rsidRPr="008515DA">
              <w:rPr>
                <w:sz w:val="26"/>
                <w:szCs w:val="26"/>
                <w:lang w:val="en-US"/>
              </w:rPr>
              <w:t>4</w:t>
            </w:r>
            <w:r w:rsidRPr="008515DA">
              <w:rPr>
                <w:sz w:val="26"/>
                <w:szCs w:val="26"/>
                <w:lang w:val="en-US"/>
              </w:rPr>
              <w:t>-</w:t>
            </w:r>
            <w:r w:rsidR="003F3556" w:rsidRPr="008515DA">
              <w:rPr>
                <w:sz w:val="26"/>
                <w:szCs w:val="26"/>
                <w:lang w:val="en-US"/>
              </w:rPr>
              <w:t>130</w:t>
            </w:r>
            <w:r w:rsidRPr="008515DA">
              <w:rPr>
                <w:sz w:val="26"/>
                <w:szCs w:val="26"/>
                <w:lang w:val="en-US"/>
              </w:rPr>
              <w:t xml:space="preserve"> </w:t>
            </w:r>
            <w:r w:rsidR="008515DA">
              <w:rPr>
                <w:sz w:val="26"/>
                <w:szCs w:val="26"/>
                <w:lang w:val="en-US"/>
              </w:rPr>
              <w:t xml:space="preserve">of January 23, </w:t>
            </w:r>
            <w:r w:rsidRPr="008515DA">
              <w:rPr>
                <w:sz w:val="26"/>
                <w:szCs w:val="26"/>
                <w:lang w:val="en-US"/>
              </w:rPr>
              <w:t>20</w:t>
            </w:r>
            <w:r w:rsidR="003F3556" w:rsidRPr="008515DA">
              <w:rPr>
                <w:sz w:val="26"/>
                <w:szCs w:val="26"/>
                <w:lang w:val="en-US"/>
              </w:rPr>
              <w:t>20</w:t>
            </w:r>
            <w:r w:rsidR="008515DA">
              <w:rPr>
                <w:sz w:val="26"/>
                <w:szCs w:val="26"/>
                <w:lang w:val="en-US"/>
              </w:rPr>
              <w:t xml:space="preserve">) </w:t>
            </w:r>
            <w:r w:rsidRPr="008515DA">
              <w:rPr>
                <w:sz w:val="26"/>
                <w:szCs w:val="26"/>
                <w:lang w:val="en-US"/>
              </w:rPr>
              <w:t xml:space="preserve"> (</w:t>
            </w:r>
            <w:r w:rsidR="008515DA">
              <w:rPr>
                <w:sz w:val="26"/>
                <w:szCs w:val="26"/>
                <w:lang w:val="en-US"/>
              </w:rPr>
              <w:t>signature</w:t>
            </w:r>
            <w:r w:rsidRPr="008515DA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8515DA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8515DA" w:rsidRDefault="00F70266" w:rsidP="008515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8515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96964">
              <w:rPr>
                <w:rFonts w:ascii="Times New Roman" w:hAnsi="Times New Roman" w:cs="Times New Roman"/>
                <w:sz w:val="26"/>
                <w:szCs w:val="26"/>
              </w:rPr>
              <w:t>13»</w:t>
            </w:r>
            <w:r w:rsidR="00FF52C2"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5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April</w:t>
            </w:r>
            <w:r w:rsidR="00AD299C"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D2945" w:rsidRPr="00AD29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51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5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8515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</w:t>
            </w:r>
            <w:r w:rsidR="008515DA" w:rsidRPr="008515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15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here</w:t>
            </w:r>
          </w:p>
        </w:tc>
      </w:tr>
    </w:tbl>
    <w:p w:rsidR="0045226D" w:rsidRPr="008515DA" w:rsidRDefault="0045226D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p w:rsidR="008515DA" w:rsidRPr="006537DD" w:rsidRDefault="008515DA" w:rsidP="00851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lastRenderedPageBreak/>
        <w:t>Сообщения о существенном факте</w:t>
      </w:r>
    </w:p>
    <w:p w:rsidR="008515DA" w:rsidRPr="006537DD" w:rsidRDefault="008515DA" w:rsidP="00851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8515DA" w:rsidRPr="006537DD" w:rsidRDefault="008515DA" w:rsidP="008515D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8515DA" w:rsidRPr="006537DD" w:rsidTr="00333D8D">
        <w:tc>
          <w:tcPr>
            <w:tcW w:w="10490" w:type="dxa"/>
            <w:gridSpan w:val="2"/>
          </w:tcPr>
          <w:p w:rsidR="008515DA" w:rsidRPr="006537DD" w:rsidRDefault="008515DA" w:rsidP="008515DA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8515DA" w:rsidRPr="006537DD" w:rsidTr="00333D8D">
        <w:trPr>
          <w:trHeight w:val="599"/>
        </w:trPr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8515DA" w:rsidRPr="006537DD" w:rsidTr="00333D8D">
        <w:trPr>
          <w:trHeight w:val="412"/>
        </w:trPr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8515DA" w:rsidRPr="006537DD" w:rsidRDefault="00690BAE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8515DA"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="008515DA"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5DA" w:rsidRPr="006537DD" w:rsidTr="00333D8D">
        <w:tc>
          <w:tcPr>
            <w:tcW w:w="4253" w:type="dxa"/>
          </w:tcPr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8515DA" w:rsidRPr="006537DD" w:rsidRDefault="008515DA" w:rsidP="00333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</w:t>
            </w:r>
            <w:r w:rsidRPr="006537DD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8515DA" w:rsidRPr="006537DD" w:rsidTr="00333D8D">
        <w:tc>
          <w:tcPr>
            <w:tcW w:w="10490" w:type="dxa"/>
            <w:gridSpan w:val="2"/>
          </w:tcPr>
          <w:p w:rsidR="008515DA" w:rsidRPr="006537DD" w:rsidRDefault="008515DA" w:rsidP="00333D8D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8515DA" w:rsidRPr="006537DD" w:rsidTr="00333D8D">
        <w:trPr>
          <w:trHeight w:val="2833"/>
        </w:trPr>
        <w:tc>
          <w:tcPr>
            <w:tcW w:w="10490" w:type="dxa"/>
            <w:gridSpan w:val="2"/>
          </w:tcPr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8515DA" w:rsidRPr="006537DD" w:rsidRDefault="008515DA" w:rsidP="00333D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8515DA" w:rsidRPr="006537DD" w:rsidTr="00333D8D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8515DA" w:rsidRPr="006537DD" w:rsidTr="00333D8D">
              <w:trPr>
                <w:jc w:val="center"/>
              </w:trPr>
              <w:tc>
                <w:tcPr>
                  <w:tcW w:w="1339" w:type="dxa"/>
                  <w:vMerge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8515DA" w:rsidRPr="006537DD" w:rsidTr="00333D8D">
              <w:trPr>
                <w:jc w:val="center"/>
              </w:trPr>
              <w:tc>
                <w:tcPr>
                  <w:tcW w:w="1339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515DA" w:rsidRPr="006537DD" w:rsidRDefault="008515DA" w:rsidP="00333D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15DA" w:rsidRPr="006537DD" w:rsidTr="00333D8D">
        <w:tc>
          <w:tcPr>
            <w:tcW w:w="10490" w:type="dxa"/>
            <w:gridSpan w:val="2"/>
          </w:tcPr>
          <w:p w:rsidR="008515DA" w:rsidRPr="006537DD" w:rsidRDefault="008515DA" w:rsidP="00333D8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515DA" w:rsidRPr="006537DD" w:rsidRDefault="008515DA" w:rsidP="00333D8D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E96964">
              <w:rPr>
                <w:b/>
                <w:bCs/>
                <w:i/>
                <w:color w:val="000000" w:themeColor="text1"/>
                <w:sz w:val="26"/>
                <w:szCs w:val="26"/>
              </w:rPr>
              <w:t>О порядке подготовки к годовому общему собранию акционеров Общества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515DA" w:rsidRPr="006537DD" w:rsidTr="00333D8D">
        <w:trPr>
          <w:trHeight w:val="1036"/>
        </w:trPr>
        <w:tc>
          <w:tcPr>
            <w:tcW w:w="10490" w:type="dxa"/>
            <w:gridSpan w:val="2"/>
          </w:tcPr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8515DA" w:rsidRDefault="008515DA" w:rsidP="00333D8D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proofErr w:type="gramStart"/>
            <w:r w:rsidRPr="00E96964">
              <w:rPr>
                <w:bCs/>
                <w:i/>
                <w:iCs/>
                <w:sz w:val="23"/>
                <w:szCs w:val="23"/>
              </w:rPr>
              <w:t>В целях предупреждения и недопущения сезонного распространения острых респираторных вирусных заболеваний в Обществе и в соответствии со статьей 2 Федерального закона от 18 марта 2020 года № 50-ФЗ поручить единоличному исполнительному органу Общества обеспечить подготовку необходимых материалов для принятия Советом директоров Общества решения о проведении годового общего собрания акционеров в форме заочного голосования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  <w:proofErr w:type="gramEnd"/>
          </w:p>
          <w:p w:rsidR="008515DA" w:rsidRDefault="008515DA" w:rsidP="00333D8D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</w:p>
          <w:p w:rsidR="008515DA" w:rsidRPr="00A36A89" w:rsidRDefault="008515DA" w:rsidP="00333D8D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A36A89">
              <w:rPr>
                <w:bCs/>
                <w:i/>
                <w:iCs/>
                <w:sz w:val="23"/>
                <w:szCs w:val="23"/>
              </w:rPr>
              <w:t>Идентификационные признаки ценных бумаг:</w:t>
            </w:r>
          </w:p>
          <w:p w:rsidR="008515DA" w:rsidRPr="006C2C4C" w:rsidRDefault="008515DA" w:rsidP="00333D8D">
            <w:pPr>
              <w:tabs>
                <w:tab w:val="left" w:pos="709"/>
                <w:tab w:val="left" w:pos="1134"/>
              </w:tabs>
              <w:autoSpaceDE/>
              <w:autoSpaceDN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A36A89">
              <w:rPr>
                <w:bCs/>
                <w:i/>
                <w:iCs/>
                <w:sz w:val="23"/>
                <w:szCs w:val="23"/>
              </w:rPr>
              <w:t>вид, категория (тип): акция обыкновенная именная государственный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ценных бумаг и дата его присвоения): 1-02-00063-A от 08.07.2003 международный код (номер) идентификации ценных бумаг (ISIN) (при наличии): RU0009046767</w:t>
            </w:r>
          </w:p>
        </w:tc>
      </w:tr>
      <w:tr w:rsidR="008515DA" w:rsidRPr="006537DD" w:rsidTr="00333D8D">
        <w:tc>
          <w:tcPr>
            <w:tcW w:w="10490" w:type="dxa"/>
            <w:gridSpan w:val="2"/>
            <w:shd w:val="clear" w:color="auto" w:fill="auto"/>
          </w:tcPr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апреля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года.</w:t>
            </w:r>
          </w:p>
          <w:p w:rsidR="008515DA" w:rsidRPr="006537DD" w:rsidRDefault="008515DA" w:rsidP="00333D8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</w:t>
            </w:r>
            <w:r w:rsidRPr="00AD29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апреля2020 года, протокол №38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AD29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/2020.</w:t>
            </w:r>
          </w:p>
        </w:tc>
      </w:tr>
      <w:tr w:rsidR="008515DA" w:rsidRPr="006537DD" w:rsidTr="00333D8D">
        <w:tc>
          <w:tcPr>
            <w:tcW w:w="10490" w:type="dxa"/>
            <w:gridSpan w:val="2"/>
          </w:tcPr>
          <w:p w:rsidR="008515DA" w:rsidRPr="006537DD" w:rsidRDefault="008515DA" w:rsidP="00333D8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Подпись</w:t>
            </w:r>
          </w:p>
        </w:tc>
      </w:tr>
      <w:tr w:rsidR="008515DA" w:rsidRPr="006537DD" w:rsidTr="00333D8D">
        <w:trPr>
          <w:trHeight w:val="1357"/>
        </w:trPr>
        <w:tc>
          <w:tcPr>
            <w:tcW w:w="10490" w:type="dxa"/>
            <w:gridSpan w:val="2"/>
          </w:tcPr>
          <w:p w:rsidR="008515DA" w:rsidRDefault="008515DA" w:rsidP="00333D8D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 xml:space="preserve">3.1. </w:t>
            </w:r>
            <w:r>
              <w:rPr>
                <w:sz w:val="26"/>
                <w:szCs w:val="26"/>
              </w:rPr>
              <w:t>Начальник департамента</w:t>
            </w:r>
          </w:p>
          <w:p w:rsidR="008515DA" w:rsidRDefault="008515DA" w:rsidP="00333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корпоративного управления </w:t>
            </w:r>
          </w:p>
          <w:p w:rsidR="008515DA" w:rsidRPr="005D2945" w:rsidRDefault="008515DA" w:rsidP="00333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8515DA" w:rsidRPr="005D2945" w:rsidRDefault="008515DA" w:rsidP="00333D8D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>(по доверенности №23/256-н/23-20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130</w:t>
            </w:r>
            <w:r w:rsidRPr="005D2945">
              <w:rPr>
                <w:sz w:val="26"/>
                <w:szCs w:val="26"/>
              </w:rPr>
              <w:t xml:space="preserve"> от 23.</w:t>
            </w:r>
            <w:r>
              <w:rPr>
                <w:sz w:val="26"/>
                <w:szCs w:val="26"/>
              </w:rPr>
              <w:t>01</w:t>
            </w:r>
            <w:r w:rsidRPr="005D2945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 xml:space="preserve">)               (подпись) </w:t>
            </w:r>
          </w:p>
          <w:p w:rsidR="008515DA" w:rsidRPr="006537DD" w:rsidRDefault="008515DA" w:rsidP="00333D8D">
            <w:pPr>
              <w:rPr>
                <w:sz w:val="26"/>
                <w:szCs w:val="26"/>
              </w:rPr>
            </w:pPr>
          </w:p>
          <w:p w:rsidR="008515DA" w:rsidRPr="006537DD" w:rsidRDefault="008515DA" w:rsidP="00333D8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3.2. Дата  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13»</w:t>
            </w:r>
            <w:r w:rsidRPr="00AD299C">
              <w:rPr>
                <w:rFonts w:ascii="Times New Roman" w:hAnsi="Times New Roman" w:cs="Times New Roman"/>
                <w:sz w:val="26"/>
                <w:szCs w:val="26"/>
              </w:rPr>
              <w:t xml:space="preserve"> апреля  2020 г.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М.П.</w:t>
            </w:r>
          </w:p>
        </w:tc>
      </w:tr>
    </w:tbl>
    <w:p w:rsidR="008515DA" w:rsidRPr="006537DD" w:rsidRDefault="008515DA" w:rsidP="008515DA">
      <w:pPr>
        <w:jc w:val="center"/>
        <w:rPr>
          <w:sz w:val="26"/>
          <w:szCs w:val="26"/>
        </w:rPr>
      </w:pPr>
    </w:p>
    <w:p w:rsidR="008515DA" w:rsidRPr="008515DA" w:rsidRDefault="008515DA" w:rsidP="006537DD">
      <w:pPr>
        <w:jc w:val="center"/>
        <w:rPr>
          <w:sz w:val="26"/>
          <w:szCs w:val="26"/>
        </w:rPr>
      </w:pPr>
    </w:p>
    <w:sectPr w:rsidR="008515DA" w:rsidRPr="008515DA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AE" w:rsidRDefault="00690BAE" w:rsidP="00C5099C">
      <w:r>
        <w:separator/>
      </w:r>
    </w:p>
  </w:endnote>
  <w:endnote w:type="continuationSeparator" w:id="0">
    <w:p w:rsidR="00690BAE" w:rsidRDefault="00690BAE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AE" w:rsidRDefault="00690BAE" w:rsidP="00C5099C">
      <w:r>
        <w:separator/>
      </w:r>
    </w:p>
  </w:footnote>
  <w:footnote w:type="continuationSeparator" w:id="0">
    <w:p w:rsidR="00690BAE" w:rsidRDefault="00690BAE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F8C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49393B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1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BE6F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05FDC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8AB"/>
    <w:rsid w:val="000555D9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4BC"/>
    <w:rsid w:val="000E2653"/>
    <w:rsid w:val="000E5E7E"/>
    <w:rsid w:val="000F01FC"/>
    <w:rsid w:val="000F4DFE"/>
    <w:rsid w:val="00101C52"/>
    <w:rsid w:val="0010430A"/>
    <w:rsid w:val="00106229"/>
    <w:rsid w:val="0011275D"/>
    <w:rsid w:val="00131D48"/>
    <w:rsid w:val="001411D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28D3"/>
    <w:rsid w:val="0020448C"/>
    <w:rsid w:val="00212EFE"/>
    <w:rsid w:val="0022502C"/>
    <w:rsid w:val="002252C2"/>
    <w:rsid w:val="00225C50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46AC0"/>
    <w:rsid w:val="00356FF6"/>
    <w:rsid w:val="00361703"/>
    <w:rsid w:val="0036257B"/>
    <w:rsid w:val="00364A53"/>
    <w:rsid w:val="003714D8"/>
    <w:rsid w:val="00371EEB"/>
    <w:rsid w:val="00372AE9"/>
    <w:rsid w:val="003914CE"/>
    <w:rsid w:val="00393C50"/>
    <w:rsid w:val="00396123"/>
    <w:rsid w:val="00396CF0"/>
    <w:rsid w:val="003A0253"/>
    <w:rsid w:val="003A3479"/>
    <w:rsid w:val="003A5EF6"/>
    <w:rsid w:val="003B1345"/>
    <w:rsid w:val="003B18CF"/>
    <w:rsid w:val="003B4FA2"/>
    <w:rsid w:val="003B6A95"/>
    <w:rsid w:val="003D4607"/>
    <w:rsid w:val="003D7747"/>
    <w:rsid w:val="003E26F6"/>
    <w:rsid w:val="003F0A20"/>
    <w:rsid w:val="003F3556"/>
    <w:rsid w:val="00401D3B"/>
    <w:rsid w:val="00402154"/>
    <w:rsid w:val="00406EF5"/>
    <w:rsid w:val="00411DDA"/>
    <w:rsid w:val="00413B92"/>
    <w:rsid w:val="00415885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610C7"/>
    <w:rsid w:val="00466AE0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5168B"/>
    <w:rsid w:val="00552531"/>
    <w:rsid w:val="005546E2"/>
    <w:rsid w:val="00554FB3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0F78"/>
    <w:rsid w:val="00671326"/>
    <w:rsid w:val="00672C8F"/>
    <w:rsid w:val="00672CAF"/>
    <w:rsid w:val="00680DC8"/>
    <w:rsid w:val="0068193A"/>
    <w:rsid w:val="00683906"/>
    <w:rsid w:val="00684705"/>
    <w:rsid w:val="006848F3"/>
    <w:rsid w:val="0068696B"/>
    <w:rsid w:val="00687F83"/>
    <w:rsid w:val="00690BAE"/>
    <w:rsid w:val="006A5A41"/>
    <w:rsid w:val="006A7084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303B2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81348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4738"/>
    <w:rsid w:val="008276FB"/>
    <w:rsid w:val="00832A7A"/>
    <w:rsid w:val="008361AE"/>
    <w:rsid w:val="00842C43"/>
    <w:rsid w:val="00844B2D"/>
    <w:rsid w:val="00845652"/>
    <w:rsid w:val="008515DA"/>
    <w:rsid w:val="008530DD"/>
    <w:rsid w:val="00855B04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534EF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E0703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36A89"/>
    <w:rsid w:val="00A46683"/>
    <w:rsid w:val="00A50E41"/>
    <w:rsid w:val="00A5222F"/>
    <w:rsid w:val="00A535F3"/>
    <w:rsid w:val="00A8319A"/>
    <w:rsid w:val="00A8346D"/>
    <w:rsid w:val="00A838E7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D299C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D1C47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CC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63D2"/>
    <w:rsid w:val="00C67A2E"/>
    <w:rsid w:val="00C71FA5"/>
    <w:rsid w:val="00C75537"/>
    <w:rsid w:val="00C76CE5"/>
    <w:rsid w:val="00C9122C"/>
    <w:rsid w:val="00C94757"/>
    <w:rsid w:val="00C96DF4"/>
    <w:rsid w:val="00C9747A"/>
    <w:rsid w:val="00CB1E20"/>
    <w:rsid w:val="00CC5CB2"/>
    <w:rsid w:val="00CD46FD"/>
    <w:rsid w:val="00CF078F"/>
    <w:rsid w:val="00CF74AC"/>
    <w:rsid w:val="00D00077"/>
    <w:rsid w:val="00D0201A"/>
    <w:rsid w:val="00D035A5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26D8"/>
    <w:rsid w:val="00D661CA"/>
    <w:rsid w:val="00D67557"/>
    <w:rsid w:val="00D73254"/>
    <w:rsid w:val="00D7746C"/>
    <w:rsid w:val="00D83715"/>
    <w:rsid w:val="00D8755C"/>
    <w:rsid w:val="00D90760"/>
    <w:rsid w:val="00D91C77"/>
    <w:rsid w:val="00D967F8"/>
    <w:rsid w:val="00DB7480"/>
    <w:rsid w:val="00DC42B7"/>
    <w:rsid w:val="00DD29A6"/>
    <w:rsid w:val="00DD7F1C"/>
    <w:rsid w:val="00DE5AED"/>
    <w:rsid w:val="00DF0432"/>
    <w:rsid w:val="00DF1458"/>
    <w:rsid w:val="00E07E71"/>
    <w:rsid w:val="00E10D4D"/>
    <w:rsid w:val="00E111C0"/>
    <w:rsid w:val="00E14EDF"/>
    <w:rsid w:val="00E1661A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964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906CE"/>
    <w:rsid w:val="00F90B03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B5A1-6208-4B12-B4E5-A4EC3ED7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27</cp:revision>
  <cp:lastPrinted>2020-04-13T20:28:00Z</cp:lastPrinted>
  <dcterms:created xsi:type="dcterms:W3CDTF">2019-12-30T13:29:00Z</dcterms:created>
  <dcterms:modified xsi:type="dcterms:W3CDTF">2020-04-13T20:34:00Z</dcterms:modified>
</cp:coreProperties>
</file>