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A1" w:rsidRDefault="00304EA1" w:rsidP="00D76722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304EA1" w:rsidRPr="004C25CD" w:rsidRDefault="00304EA1" w:rsidP="00D76722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304EA1" w:rsidRPr="00050440" w:rsidRDefault="00304EA1" w:rsidP="00304EA1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45226D" w:rsidRPr="006537DD" w:rsidTr="00F61FF8">
        <w:tc>
          <w:tcPr>
            <w:tcW w:w="10490" w:type="dxa"/>
            <w:gridSpan w:val="2"/>
          </w:tcPr>
          <w:p w:rsidR="0045226D" w:rsidRPr="006537DD" w:rsidRDefault="00304EA1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304EA1" w:rsidRPr="005332BD" w:rsidTr="00F61FF8">
        <w:trPr>
          <w:trHeight w:val="599"/>
        </w:trPr>
        <w:tc>
          <w:tcPr>
            <w:tcW w:w="4253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237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304EA1" w:rsidRPr="006537DD" w:rsidTr="00F61FF8">
        <w:tc>
          <w:tcPr>
            <w:tcW w:w="4253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237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PJSC</w:t>
            </w:r>
            <w:r w:rsidRPr="00050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Kubanenergo</w:t>
            </w:r>
          </w:p>
        </w:tc>
      </w:tr>
      <w:tr w:rsidR="00304EA1" w:rsidRPr="006537DD" w:rsidTr="00F61FF8">
        <w:trPr>
          <w:trHeight w:val="412"/>
        </w:trPr>
        <w:tc>
          <w:tcPr>
            <w:tcW w:w="4253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237" w:type="dxa"/>
          </w:tcPr>
          <w:p w:rsidR="00304EA1" w:rsidRPr="00050440" w:rsidRDefault="00304EA1" w:rsidP="00D7672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050440">
              <w:rPr>
                <w:sz w:val="26"/>
                <w:szCs w:val="26"/>
                <w:lang w:val="en-US"/>
              </w:rPr>
              <w:t>he Russian Federation, Krasnodar</w:t>
            </w:r>
          </w:p>
          <w:p w:rsidR="00304EA1" w:rsidRPr="00050440" w:rsidRDefault="00304EA1" w:rsidP="00D76722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04EA1" w:rsidRPr="006537DD" w:rsidTr="00F61FF8">
        <w:tc>
          <w:tcPr>
            <w:tcW w:w="4253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237" w:type="dxa"/>
          </w:tcPr>
          <w:p w:rsidR="00304EA1" w:rsidRPr="006537DD" w:rsidRDefault="00304EA1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304EA1" w:rsidRPr="006537DD" w:rsidTr="00F61FF8">
        <w:tc>
          <w:tcPr>
            <w:tcW w:w="4253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237" w:type="dxa"/>
          </w:tcPr>
          <w:p w:rsidR="00304EA1" w:rsidRPr="006537DD" w:rsidRDefault="00304EA1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304EA1" w:rsidRPr="006537DD" w:rsidTr="00F61FF8">
        <w:tc>
          <w:tcPr>
            <w:tcW w:w="4253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237" w:type="dxa"/>
          </w:tcPr>
          <w:p w:rsidR="00304EA1" w:rsidRPr="006537DD" w:rsidRDefault="00304EA1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304EA1" w:rsidRPr="005332BD" w:rsidTr="00F61FF8">
        <w:tc>
          <w:tcPr>
            <w:tcW w:w="4253" w:type="dxa"/>
          </w:tcPr>
          <w:p w:rsidR="00304EA1" w:rsidRPr="00050440" w:rsidRDefault="00304EA1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237" w:type="dxa"/>
          </w:tcPr>
          <w:p w:rsidR="00304EA1" w:rsidRPr="005332BD" w:rsidRDefault="00304EA1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5332BD">
              <w:rPr>
                <w:sz w:val="26"/>
                <w:szCs w:val="26"/>
                <w:lang w:val="en-US"/>
              </w:rPr>
              <w:t>://</w:t>
            </w:r>
            <w:r w:rsidR="000032C3">
              <w:fldChar w:fldCharType="begin"/>
            </w:r>
            <w:r w:rsidR="000032C3" w:rsidRPr="005332BD">
              <w:rPr>
                <w:lang w:val="en-US"/>
              </w:rPr>
              <w:instrText xml:space="preserve"> HYPERLINK "http://www.kubanenergo.ru" </w:instrText>
            </w:r>
            <w:r w:rsidR="000032C3">
              <w:fldChar w:fldCharType="separate"/>
            </w:r>
            <w:r w:rsidRPr="006537DD">
              <w:rPr>
                <w:sz w:val="26"/>
                <w:szCs w:val="26"/>
                <w:lang w:val="en-US"/>
              </w:rPr>
              <w:t>www</w:t>
            </w:r>
            <w:r w:rsidRPr="005332BD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537DD">
              <w:rPr>
                <w:sz w:val="26"/>
                <w:szCs w:val="26"/>
                <w:lang w:val="en-US"/>
              </w:rPr>
              <w:t>kubanenergo</w:t>
            </w:r>
            <w:proofErr w:type="spellEnd"/>
            <w:r w:rsidRPr="005332BD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537DD">
              <w:rPr>
                <w:sz w:val="26"/>
                <w:szCs w:val="26"/>
                <w:lang w:val="en-US"/>
              </w:rPr>
              <w:t>ru</w:t>
            </w:r>
            <w:proofErr w:type="spellEnd"/>
            <w:r w:rsidR="000032C3">
              <w:rPr>
                <w:sz w:val="26"/>
                <w:szCs w:val="26"/>
                <w:lang w:val="en-US"/>
              </w:rPr>
              <w:fldChar w:fldCharType="end"/>
            </w:r>
            <w:r w:rsidRPr="005332BD">
              <w:rPr>
                <w:sz w:val="26"/>
                <w:szCs w:val="26"/>
                <w:lang w:val="en-US"/>
              </w:rPr>
              <w:t xml:space="preserve">  </w:t>
            </w:r>
          </w:p>
          <w:p w:rsidR="00304EA1" w:rsidRPr="005332BD" w:rsidRDefault="000032C3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fldChar w:fldCharType="begin"/>
            </w:r>
            <w:r w:rsidRPr="005332BD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304EA1" w:rsidRPr="005332BD">
              <w:rPr>
                <w:rStyle w:val="af4"/>
                <w:rFonts w:ascii="Times New Roman" w:hAnsi="Times New Roman" w:cs="Times New Roman"/>
                <w:sz w:val="26"/>
                <w:szCs w:val="26"/>
                <w:lang w:val="en-US"/>
              </w:rPr>
              <w:t>http://www.e-disclosure.ru/portal/company.aspx?id=2827</w:t>
            </w:r>
            <w:r>
              <w:rPr>
                <w:rStyle w:val="af4"/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="00304EA1" w:rsidRPr="005332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304EA1" w:rsidRPr="005332BD" w:rsidRDefault="00304EA1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04EA1" w:rsidRPr="006537DD" w:rsidTr="00F61FF8">
        <w:tc>
          <w:tcPr>
            <w:tcW w:w="4253" w:type="dxa"/>
          </w:tcPr>
          <w:p w:rsidR="00304EA1" w:rsidRPr="00050440" w:rsidRDefault="00304EA1" w:rsidP="00D76722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237" w:type="dxa"/>
          </w:tcPr>
          <w:p w:rsidR="00304EA1" w:rsidRPr="006537DD" w:rsidRDefault="00304EA1" w:rsidP="00222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February </w:t>
            </w:r>
            <w:r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6537D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E57436" w:rsidRPr="006537DD" w:rsidTr="00F61FF8">
        <w:tc>
          <w:tcPr>
            <w:tcW w:w="10490" w:type="dxa"/>
            <w:gridSpan w:val="2"/>
          </w:tcPr>
          <w:p w:rsidR="00E57436" w:rsidRPr="00222B40" w:rsidRDefault="00E57436" w:rsidP="00222B40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222B40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BE1A14">
        <w:trPr>
          <w:trHeight w:val="2975"/>
        </w:trPr>
        <w:tc>
          <w:tcPr>
            <w:tcW w:w="10490" w:type="dxa"/>
            <w:gridSpan w:val="2"/>
          </w:tcPr>
          <w:p w:rsidR="00222B40" w:rsidRPr="00E45128" w:rsidRDefault="004D0A6C" w:rsidP="00222B4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 w:rsid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quorum for the meeting of the Issuers’ Board of Directors and election returns on decision making</w:t>
            </w:r>
            <w:r w:rsidR="00222B40" w:rsidRP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222B40" w:rsidRDefault="00222B40" w:rsidP="00222B4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222B40" w:rsidRDefault="00222B40" w:rsidP="00222B4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222B40" w:rsidRPr="00E45128" w:rsidRDefault="00222B40" w:rsidP="00222B4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</w:t>
            </w:r>
            <w:r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PJSC Kubanenergo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Board of Directors is present</w:t>
            </w:r>
            <w:r w:rsidRPr="00E4512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E1E11" w:rsidRPr="006537DD" w:rsidRDefault="00222B40" w:rsidP="00222B4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</w:t>
            </w:r>
            <w:r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returns</w:t>
            </w:r>
            <w:r w:rsidR="004D0A6C"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7E1E11" w:rsidRPr="00222B40" w:rsidRDefault="00222B4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7E1E11" w:rsidRPr="00222B40" w:rsidRDefault="00222B4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7E1E11" w:rsidRPr="00222B40" w:rsidRDefault="00222B40" w:rsidP="00222B4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7E1E11" w:rsidRPr="00222B40" w:rsidRDefault="00222B4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7E1E11" w:rsidRPr="00222B40" w:rsidRDefault="00222B4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7E1E11" w:rsidRPr="006537DD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7E1E11" w:rsidRPr="006537DD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  <w:r w:rsidR="002E2C8F"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6537D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5332BD" w:rsidTr="00F61FF8">
        <w:tc>
          <w:tcPr>
            <w:tcW w:w="10490" w:type="dxa"/>
            <w:gridSpan w:val="2"/>
          </w:tcPr>
          <w:p w:rsidR="00222B40" w:rsidRPr="005332BD" w:rsidRDefault="00222B40" w:rsidP="00222B4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5332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5332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5332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D0A6C" w:rsidRPr="00DC0073" w:rsidRDefault="00222B40" w:rsidP="00BE1A14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88783B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88783B">
              <w:rPr>
                <w:b/>
                <w:sz w:val="26"/>
                <w:szCs w:val="26"/>
                <w:lang w:val="en-US"/>
              </w:rPr>
              <w:t xml:space="preserve">. </w:t>
            </w:r>
            <w:r w:rsidR="00275923" w:rsidRPr="0088783B">
              <w:rPr>
                <w:b/>
                <w:sz w:val="26"/>
                <w:szCs w:val="26"/>
                <w:lang w:val="en-US"/>
              </w:rPr>
              <w:t>1</w:t>
            </w:r>
            <w:r w:rsidR="00212EFE" w:rsidRPr="0088783B">
              <w:rPr>
                <w:b/>
                <w:sz w:val="26"/>
                <w:szCs w:val="26"/>
                <w:lang w:val="en-US"/>
              </w:rPr>
              <w:t xml:space="preserve"> </w:t>
            </w:r>
            <w:r w:rsidR="0088783B" w:rsidRPr="0088783B">
              <w:rPr>
                <w:b/>
                <w:i/>
                <w:sz w:val="26"/>
                <w:szCs w:val="26"/>
                <w:lang w:val="en-US"/>
              </w:rPr>
              <w:t>“On the approval of the draft amendments to the Investment Programme of PJSC Kubanenergo, approved by Order of the Ministry of Energy of the Russian Federation of December 1, 2017 No.</w:t>
            </w:r>
            <w:r w:rsidR="000A5552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r w:rsidR="0088783B" w:rsidRPr="0088783B">
              <w:rPr>
                <w:b/>
                <w:i/>
                <w:sz w:val="26"/>
                <w:szCs w:val="26"/>
                <w:lang w:val="en-US"/>
              </w:rPr>
              <w:t>21@ (taking into account amendments up to Order of the Ministry of Energy of the Russian Federation of December 2, 2019 No. 14@)”</w:t>
            </w:r>
            <w:r w:rsidR="00926E95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471361" w:rsidRPr="005332BD" w:rsidTr="00F61FF8">
        <w:trPr>
          <w:trHeight w:val="409"/>
        </w:trPr>
        <w:tc>
          <w:tcPr>
            <w:tcW w:w="10490" w:type="dxa"/>
            <w:gridSpan w:val="2"/>
          </w:tcPr>
          <w:p w:rsidR="00471361" w:rsidRPr="00222B40" w:rsidRDefault="00471361" w:rsidP="006C2C4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332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222B40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</w:t>
            </w:r>
            <w:r w:rsid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Issuers’ Board of Directors</w:t>
            </w:r>
            <w:r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222B40" w:rsidRPr="00167528" w:rsidRDefault="00BE1A14" w:rsidP="00BE1A14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222B40">
              <w:rPr>
                <w:bCs/>
                <w:i/>
                <w:iCs/>
                <w:sz w:val="23"/>
                <w:szCs w:val="23"/>
                <w:lang w:val="en-US"/>
              </w:rPr>
              <w:t>1.</w:t>
            </w:r>
            <w:r w:rsidRPr="00222B40">
              <w:rPr>
                <w:bCs/>
                <w:i/>
                <w:iCs/>
                <w:sz w:val="23"/>
                <w:szCs w:val="23"/>
                <w:lang w:val="en-US"/>
              </w:rPr>
              <w:tab/>
            </w:r>
            <w:r w:rsidR="00222B40">
              <w:rPr>
                <w:bCs/>
                <w:i/>
                <w:iCs/>
                <w:sz w:val="23"/>
                <w:szCs w:val="23"/>
                <w:lang w:val="en-US"/>
              </w:rPr>
              <w:t xml:space="preserve">To approve the </w:t>
            </w:r>
            <w:r w:rsidR="00222B40" w:rsidRPr="00222B40">
              <w:rPr>
                <w:bCs/>
                <w:i/>
                <w:iCs/>
                <w:sz w:val="23"/>
                <w:szCs w:val="23"/>
                <w:lang w:val="en-US"/>
              </w:rPr>
              <w:t>draft amendments</w:t>
            </w:r>
            <w:r w:rsidR="00273333" w:rsidRPr="00273333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273333">
              <w:rPr>
                <w:bCs/>
                <w:i/>
                <w:iCs/>
                <w:sz w:val="23"/>
                <w:szCs w:val="23"/>
                <w:lang w:val="en-US"/>
              </w:rPr>
              <w:t>to the Investment Programme of PJSC Kubanenergo for the period 2018-2022, approved by Order o</w:t>
            </w:r>
            <w:r w:rsidR="0069101A">
              <w:rPr>
                <w:bCs/>
                <w:i/>
                <w:iCs/>
                <w:sz w:val="23"/>
                <w:szCs w:val="23"/>
                <w:lang w:val="en-US"/>
              </w:rPr>
              <w:t>f the Ministry of Energy of the Russian Federation of December 1, 2017 No.21@ (</w:t>
            </w:r>
            <w:r w:rsidR="00167528">
              <w:rPr>
                <w:bCs/>
                <w:i/>
                <w:iCs/>
                <w:sz w:val="23"/>
                <w:szCs w:val="23"/>
                <w:lang w:val="en-US"/>
              </w:rPr>
              <w:t xml:space="preserve">taking into account amendments </w:t>
            </w:r>
            <w:r w:rsidR="00167528" w:rsidRPr="00167528">
              <w:rPr>
                <w:bCs/>
                <w:i/>
                <w:iCs/>
                <w:sz w:val="23"/>
                <w:szCs w:val="23"/>
                <w:lang w:val="en-US"/>
              </w:rPr>
              <w:t xml:space="preserve">up to </w:t>
            </w:r>
            <w:r w:rsidR="00167528">
              <w:rPr>
                <w:bCs/>
                <w:i/>
                <w:iCs/>
                <w:sz w:val="23"/>
                <w:szCs w:val="23"/>
                <w:lang w:val="en-US"/>
              </w:rPr>
              <w:t>Order of the Ministry of Energy of the Russian Federation of December 2, 2019 No. 14@), in accordance with the Appendix to the present resolution of the Company’s Board of Directors.</w:t>
            </w:r>
          </w:p>
          <w:p w:rsidR="00BE1A14" w:rsidRPr="00167528" w:rsidRDefault="00BE1A14" w:rsidP="00BE1A14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167528">
              <w:rPr>
                <w:bCs/>
                <w:i/>
                <w:iCs/>
                <w:sz w:val="23"/>
                <w:szCs w:val="23"/>
                <w:lang w:val="en-US"/>
              </w:rPr>
              <w:t>2.</w:t>
            </w:r>
            <w:r w:rsidRPr="00167528">
              <w:rPr>
                <w:bCs/>
                <w:i/>
                <w:iCs/>
                <w:sz w:val="23"/>
                <w:szCs w:val="23"/>
                <w:lang w:val="en-US"/>
              </w:rPr>
              <w:tab/>
            </w:r>
            <w:r w:rsidR="00167528" w:rsidRPr="00167528">
              <w:rPr>
                <w:bCs/>
                <w:i/>
                <w:iCs/>
                <w:sz w:val="23"/>
                <w:szCs w:val="23"/>
                <w:lang w:val="en-US"/>
              </w:rPr>
              <w:t xml:space="preserve">To assign the chief executive officer (CEO) </w:t>
            </w:r>
            <w:r w:rsidR="00167528">
              <w:rPr>
                <w:bCs/>
                <w:i/>
                <w:iCs/>
                <w:sz w:val="23"/>
                <w:szCs w:val="23"/>
                <w:lang w:val="en-US"/>
              </w:rPr>
              <w:t>of PJSC Kubanenergo:</w:t>
            </w:r>
          </w:p>
          <w:p w:rsidR="006204AE" w:rsidRPr="00690FAA" w:rsidRDefault="00BE1A14" w:rsidP="00BE1A14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7C397C">
              <w:rPr>
                <w:bCs/>
                <w:i/>
                <w:iCs/>
                <w:sz w:val="23"/>
                <w:szCs w:val="23"/>
                <w:lang w:val="en-US"/>
              </w:rPr>
              <w:t>2.1.</w:t>
            </w:r>
            <w:r w:rsidRPr="007C397C">
              <w:rPr>
                <w:bCs/>
                <w:i/>
                <w:iCs/>
                <w:sz w:val="23"/>
                <w:szCs w:val="23"/>
                <w:lang w:val="en-US"/>
              </w:rPr>
              <w:tab/>
            </w:r>
            <w:r w:rsidR="00690FAA">
              <w:rPr>
                <w:bCs/>
                <w:i/>
                <w:iCs/>
                <w:sz w:val="23"/>
                <w:szCs w:val="23"/>
                <w:lang w:val="en-US"/>
              </w:rPr>
              <w:t xml:space="preserve">To </w:t>
            </w:r>
            <w:r w:rsidR="007C397C">
              <w:rPr>
                <w:bCs/>
                <w:i/>
                <w:iCs/>
                <w:sz w:val="23"/>
                <w:szCs w:val="23"/>
                <w:lang w:val="en-US"/>
              </w:rPr>
              <w:t xml:space="preserve">arrange </w:t>
            </w:r>
            <w:r w:rsidR="00690FAA">
              <w:rPr>
                <w:bCs/>
                <w:i/>
                <w:iCs/>
                <w:sz w:val="23"/>
                <w:szCs w:val="23"/>
                <w:lang w:val="en-US"/>
              </w:rPr>
              <w:t xml:space="preserve">the approval </w:t>
            </w:r>
            <w:r w:rsidR="007C397C">
              <w:rPr>
                <w:bCs/>
                <w:i/>
                <w:iCs/>
                <w:sz w:val="23"/>
                <w:szCs w:val="23"/>
                <w:lang w:val="en-US"/>
              </w:rPr>
              <w:t xml:space="preserve">of the </w:t>
            </w:r>
            <w:r w:rsidR="007C397C" w:rsidRPr="00222B40">
              <w:rPr>
                <w:bCs/>
                <w:i/>
                <w:iCs/>
                <w:sz w:val="23"/>
                <w:szCs w:val="23"/>
                <w:lang w:val="en-US"/>
              </w:rPr>
              <w:t>draft amendments</w:t>
            </w:r>
            <w:r w:rsidR="007C397C">
              <w:rPr>
                <w:bCs/>
                <w:i/>
                <w:iCs/>
                <w:sz w:val="23"/>
                <w:szCs w:val="23"/>
                <w:lang w:val="en-US"/>
              </w:rPr>
              <w:t xml:space="preserve"> to the Investment Programme of PJSC Kubanenergo for the period 2018-2022, approved by Order of the Ministry of Energy of the Russian Federation of December 1, 2017 No.21@ (taking into account amendments </w:t>
            </w:r>
            <w:r w:rsidR="007C397C" w:rsidRPr="00167528">
              <w:rPr>
                <w:bCs/>
                <w:i/>
                <w:iCs/>
                <w:sz w:val="23"/>
                <w:szCs w:val="23"/>
                <w:lang w:val="en-US"/>
              </w:rPr>
              <w:t xml:space="preserve">up to </w:t>
            </w:r>
            <w:r w:rsidR="007C397C">
              <w:rPr>
                <w:bCs/>
                <w:i/>
                <w:iCs/>
                <w:sz w:val="23"/>
                <w:szCs w:val="23"/>
                <w:lang w:val="en-US"/>
              </w:rPr>
              <w:t>Order of the Ministry of Energy of the Russian Federation of December 2, 2019 No. 14@),</w:t>
            </w:r>
            <w:r w:rsidR="007C397C" w:rsidRPr="007C397C">
              <w:rPr>
                <w:lang w:val="en-US"/>
              </w:rPr>
              <w:t xml:space="preserve"> </w:t>
            </w:r>
            <w:r w:rsidR="007C397C" w:rsidRPr="007C397C">
              <w:rPr>
                <w:bCs/>
                <w:i/>
                <w:iCs/>
                <w:sz w:val="23"/>
                <w:szCs w:val="23"/>
                <w:lang w:val="en-US"/>
              </w:rPr>
              <w:t>in accordance with the procedure established by the Decree of the Government of the Russian Federation</w:t>
            </w:r>
            <w:r w:rsidR="007C397C">
              <w:rPr>
                <w:bCs/>
                <w:i/>
                <w:iCs/>
                <w:sz w:val="23"/>
                <w:szCs w:val="23"/>
                <w:lang w:val="en-US"/>
              </w:rPr>
              <w:t xml:space="preserve"> of December 1, 2009 No. 977 “</w:t>
            </w:r>
            <w:r w:rsidR="001E6DBD">
              <w:rPr>
                <w:bCs/>
                <w:i/>
                <w:iCs/>
                <w:sz w:val="23"/>
                <w:szCs w:val="23"/>
                <w:lang w:val="en-US"/>
              </w:rPr>
              <w:t>On investment program</w:t>
            </w:r>
            <w:r w:rsidR="001E75F1">
              <w:rPr>
                <w:bCs/>
                <w:i/>
                <w:iCs/>
                <w:sz w:val="23"/>
                <w:szCs w:val="23"/>
                <w:lang w:val="en-US"/>
              </w:rPr>
              <w:t xml:space="preserve">s </w:t>
            </w:r>
            <w:r w:rsidR="001E6DBD">
              <w:rPr>
                <w:bCs/>
                <w:i/>
                <w:iCs/>
                <w:sz w:val="23"/>
                <w:szCs w:val="23"/>
                <w:lang w:val="en-US"/>
              </w:rPr>
              <w:t xml:space="preserve">of </w:t>
            </w:r>
            <w:r w:rsidR="001E75F1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1E6DBD" w:rsidRPr="001E6DBD">
              <w:rPr>
                <w:bCs/>
                <w:i/>
                <w:iCs/>
                <w:sz w:val="23"/>
                <w:szCs w:val="23"/>
                <w:lang w:val="en-US"/>
              </w:rPr>
              <w:t>electric power industry entities</w:t>
            </w:r>
            <w:r w:rsidR="00BE1FAA">
              <w:rPr>
                <w:bCs/>
                <w:i/>
                <w:iCs/>
                <w:sz w:val="23"/>
                <w:szCs w:val="23"/>
                <w:lang w:val="en-US"/>
              </w:rPr>
              <w:t>”.</w:t>
            </w:r>
          </w:p>
          <w:p w:rsidR="00BE1FAA" w:rsidRPr="002C3F6A" w:rsidRDefault="00BE1A14" w:rsidP="00BE1A14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2C3F6A">
              <w:rPr>
                <w:bCs/>
                <w:i/>
                <w:iCs/>
                <w:sz w:val="23"/>
                <w:szCs w:val="23"/>
                <w:lang w:val="en-US"/>
              </w:rPr>
              <w:t>2.2.</w:t>
            </w:r>
            <w:r w:rsidRPr="002C3F6A">
              <w:rPr>
                <w:bCs/>
                <w:i/>
                <w:iCs/>
                <w:sz w:val="23"/>
                <w:szCs w:val="23"/>
                <w:lang w:val="en-US"/>
              </w:rPr>
              <w:tab/>
            </w:r>
            <w:r w:rsidR="00BE1FAA">
              <w:rPr>
                <w:bCs/>
                <w:i/>
                <w:iCs/>
                <w:sz w:val="23"/>
                <w:szCs w:val="23"/>
                <w:lang w:val="en-US"/>
              </w:rPr>
              <w:t xml:space="preserve">To </w:t>
            </w:r>
            <w:r w:rsidR="002C3F6A">
              <w:rPr>
                <w:bCs/>
                <w:i/>
                <w:iCs/>
                <w:sz w:val="23"/>
                <w:szCs w:val="23"/>
                <w:lang w:val="en-US"/>
              </w:rPr>
              <w:t xml:space="preserve">consider the question on the progress of </w:t>
            </w:r>
            <w:r w:rsidR="00B574CB">
              <w:rPr>
                <w:bCs/>
                <w:i/>
                <w:iCs/>
                <w:sz w:val="23"/>
                <w:szCs w:val="23"/>
                <w:lang w:val="en-US"/>
              </w:rPr>
              <w:t xml:space="preserve">public hearing on Investment Project </w:t>
            </w:r>
            <w:r w:rsidR="00B574CB" w:rsidRPr="00B574CB">
              <w:rPr>
                <w:bCs/>
                <w:i/>
                <w:iCs/>
                <w:sz w:val="23"/>
                <w:szCs w:val="23"/>
                <w:lang w:val="en-US"/>
              </w:rPr>
              <w:t>taking into consideration the</w:t>
            </w:r>
            <w:r w:rsidR="00B574CB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88783B" w:rsidRPr="0088783B">
              <w:rPr>
                <w:bCs/>
                <w:i/>
                <w:iCs/>
                <w:sz w:val="23"/>
                <w:szCs w:val="23"/>
                <w:lang w:val="en-US"/>
              </w:rPr>
              <w:t>tariff and balance decisions</w:t>
            </w:r>
            <w:r w:rsidR="00B574CB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88783B">
              <w:rPr>
                <w:bCs/>
                <w:i/>
                <w:iCs/>
                <w:sz w:val="23"/>
                <w:szCs w:val="23"/>
                <w:lang w:val="en-US"/>
              </w:rPr>
              <w:t xml:space="preserve">and business plan of the Company,  </w:t>
            </w:r>
            <w:r w:rsidR="002C3F6A">
              <w:rPr>
                <w:bCs/>
                <w:i/>
                <w:iCs/>
                <w:sz w:val="23"/>
                <w:szCs w:val="23"/>
                <w:lang w:val="en-US"/>
              </w:rPr>
              <w:t>for the period up to March 20, 2020 at the meeting of the Board of Directors</w:t>
            </w:r>
            <w:r w:rsidR="0088783B">
              <w:rPr>
                <w:bCs/>
                <w:i/>
                <w:iCs/>
                <w:sz w:val="23"/>
                <w:szCs w:val="23"/>
                <w:lang w:val="en-US"/>
              </w:rPr>
              <w:t xml:space="preserve"> of the Company</w:t>
            </w:r>
            <w:r w:rsidR="002C3F6A">
              <w:rPr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  <w:p w:rsidR="00E10D4D" w:rsidRPr="00C642FF" w:rsidRDefault="00BE1A14" w:rsidP="00C642FF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257AB9">
              <w:rPr>
                <w:bCs/>
                <w:i/>
                <w:iCs/>
                <w:sz w:val="23"/>
                <w:szCs w:val="23"/>
                <w:lang w:val="en-US"/>
              </w:rPr>
              <w:t>2.3.</w:t>
            </w:r>
            <w:r w:rsidRPr="00257AB9">
              <w:rPr>
                <w:bCs/>
                <w:i/>
                <w:iCs/>
                <w:sz w:val="23"/>
                <w:szCs w:val="23"/>
                <w:lang w:val="en-US"/>
              </w:rPr>
              <w:tab/>
            </w:r>
            <w:r w:rsidR="00E243F6">
              <w:rPr>
                <w:bCs/>
                <w:i/>
                <w:iCs/>
                <w:sz w:val="23"/>
                <w:szCs w:val="23"/>
                <w:lang w:val="en-US"/>
              </w:rPr>
              <w:t xml:space="preserve">To submit a report </w:t>
            </w:r>
            <w:r w:rsidR="00257AB9">
              <w:rPr>
                <w:bCs/>
                <w:i/>
                <w:iCs/>
                <w:sz w:val="23"/>
                <w:szCs w:val="23"/>
                <w:lang w:val="en-US"/>
              </w:rPr>
              <w:t>on the implementation of Clause 2.1 of the present resolution for consideration by the Board of Directors of the Company including the reasons for deviation</w:t>
            </w:r>
            <w:r w:rsidR="000A5552">
              <w:rPr>
                <w:bCs/>
                <w:i/>
                <w:iCs/>
                <w:sz w:val="23"/>
                <w:szCs w:val="23"/>
                <w:lang w:val="en-US"/>
              </w:rPr>
              <w:t>s</w:t>
            </w:r>
            <w:r w:rsidR="00257AB9">
              <w:rPr>
                <w:bCs/>
                <w:i/>
                <w:iCs/>
                <w:sz w:val="23"/>
                <w:szCs w:val="23"/>
                <w:lang w:val="en-US"/>
              </w:rPr>
              <w:t xml:space="preserve"> of </w:t>
            </w:r>
            <w:r w:rsidR="00257AB9" w:rsidRPr="00257AB9">
              <w:rPr>
                <w:bCs/>
                <w:i/>
                <w:iCs/>
                <w:sz w:val="23"/>
                <w:szCs w:val="23"/>
                <w:lang w:val="en-US"/>
              </w:rPr>
              <w:t xml:space="preserve">the approved investment </w:t>
            </w:r>
            <w:r w:rsidR="00257AB9" w:rsidRPr="00257AB9">
              <w:rPr>
                <w:bCs/>
                <w:i/>
                <w:iCs/>
                <w:sz w:val="23"/>
                <w:szCs w:val="23"/>
                <w:lang w:val="en-US"/>
              </w:rPr>
              <w:lastRenderedPageBreak/>
              <w:t xml:space="preserve">programme from </w:t>
            </w:r>
            <w:r w:rsidR="00C642FF">
              <w:rPr>
                <w:bCs/>
                <w:i/>
                <w:iCs/>
                <w:sz w:val="23"/>
                <w:szCs w:val="23"/>
                <w:lang w:val="en-US"/>
              </w:rPr>
              <w:t xml:space="preserve">the investment project approved by the Board of Directors of the Company (in the case of deviations) within 30 working days after the approval of the </w:t>
            </w:r>
            <w:r w:rsidR="00C642FF" w:rsidRPr="00222B40">
              <w:rPr>
                <w:bCs/>
                <w:i/>
                <w:iCs/>
                <w:sz w:val="23"/>
                <w:szCs w:val="23"/>
                <w:lang w:val="en-US"/>
              </w:rPr>
              <w:t>draft amendments</w:t>
            </w:r>
            <w:r w:rsidR="00C642FF" w:rsidRPr="00273333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C642FF">
              <w:rPr>
                <w:bCs/>
                <w:i/>
                <w:iCs/>
                <w:sz w:val="23"/>
                <w:szCs w:val="23"/>
                <w:lang w:val="en-US"/>
              </w:rPr>
              <w:t xml:space="preserve">to the Investment Programme of PJSC Kubanenergo for the period 2018-2022, approved by Order of the Ministry of Energy of the Russian Federation of December 1, 2017 No.21@ (taking into account amendments </w:t>
            </w:r>
            <w:r w:rsidR="00C642FF" w:rsidRPr="00167528">
              <w:rPr>
                <w:bCs/>
                <w:i/>
                <w:iCs/>
                <w:sz w:val="23"/>
                <w:szCs w:val="23"/>
                <w:lang w:val="en-US"/>
              </w:rPr>
              <w:t xml:space="preserve">up to </w:t>
            </w:r>
            <w:r w:rsidR="00C642FF">
              <w:rPr>
                <w:bCs/>
                <w:i/>
                <w:iCs/>
                <w:sz w:val="23"/>
                <w:szCs w:val="23"/>
                <w:lang w:val="en-US"/>
              </w:rPr>
              <w:t>Order of the Ministry of Energy of the Russian Federation of December 2, 2019 No. 14@),</w:t>
            </w:r>
            <w:r w:rsidR="00C642FF" w:rsidRPr="007C397C"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the procedure established by the Decree of the Government of the Russian Federation</w:t>
            </w:r>
            <w:r w:rsidR="00C642FF">
              <w:rPr>
                <w:bCs/>
                <w:i/>
                <w:iCs/>
                <w:sz w:val="23"/>
                <w:szCs w:val="23"/>
                <w:lang w:val="en-US"/>
              </w:rPr>
              <w:t xml:space="preserve"> of December 1, 2009 No. 977 “On investment programs of  </w:t>
            </w:r>
            <w:r w:rsidR="00C642FF" w:rsidRPr="001E6DBD">
              <w:rPr>
                <w:bCs/>
                <w:i/>
                <w:iCs/>
                <w:sz w:val="23"/>
                <w:szCs w:val="23"/>
                <w:lang w:val="en-US"/>
              </w:rPr>
              <w:t>electric power industry entities</w:t>
            </w:r>
            <w:r w:rsidR="00C642FF">
              <w:rPr>
                <w:bCs/>
                <w:i/>
                <w:iCs/>
                <w:sz w:val="23"/>
                <w:szCs w:val="23"/>
                <w:lang w:val="en-US"/>
              </w:rPr>
              <w:t>”.</w:t>
            </w:r>
          </w:p>
        </w:tc>
      </w:tr>
      <w:tr w:rsidR="00741003" w:rsidRPr="005332BD" w:rsidTr="00F61FF8">
        <w:tc>
          <w:tcPr>
            <w:tcW w:w="10490" w:type="dxa"/>
            <w:gridSpan w:val="2"/>
            <w:shd w:val="clear" w:color="auto" w:fill="auto"/>
          </w:tcPr>
          <w:p w:rsidR="00741003" w:rsidRPr="00222B40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2.3. </w:t>
            </w:r>
            <w:r w:rsidR="00222B40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Date of the meeting of the Issuer’s Board of Directors at which the relevant resolutions were passed: </w:t>
            </w:r>
            <w:r w:rsidR="00222B40"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February </w:t>
            </w:r>
            <w:r w:rsidR="0019154E"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</w:t>
            </w:r>
            <w:r w:rsidR="00BE1A14"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5</w:t>
            </w:r>
            <w:r w:rsid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,</w:t>
            </w:r>
            <w:r w:rsidR="00EE6568"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304EA1" w:rsidRDefault="00741003" w:rsidP="00222B4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304EA1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304EA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C13329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February</w:t>
            </w:r>
            <w:r w:rsidR="00222B40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05018B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</w:t>
            </w:r>
            <w:r w:rsidR="00BE1A14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6</w:t>
            </w:r>
            <w:r w:rsidR="00222B40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Minutes</w:t>
            </w:r>
            <w:r w:rsidR="00222B40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222B4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No</w:t>
            </w:r>
            <w:r w:rsidR="00222B40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. </w:t>
            </w:r>
            <w:r w:rsidR="00E748F7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ED0877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7</w:t>
            </w:r>
            <w:r w:rsidR="00BE1A14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8</w:t>
            </w:r>
            <w:r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</w:t>
            </w:r>
            <w:r w:rsidR="00BE1A14"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304EA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F61FF8">
        <w:tc>
          <w:tcPr>
            <w:tcW w:w="10490" w:type="dxa"/>
            <w:gridSpan w:val="2"/>
          </w:tcPr>
          <w:p w:rsidR="00741003" w:rsidRPr="00304EA1" w:rsidRDefault="00741003" w:rsidP="00304EA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304EA1" w:rsidTr="00F61FF8">
        <w:trPr>
          <w:trHeight w:val="1357"/>
        </w:trPr>
        <w:tc>
          <w:tcPr>
            <w:tcW w:w="10490" w:type="dxa"/>
            <w:gridSpan w:val="2"/>
          </w:tcPr>
          <w:p w:rsidR="00304EA1" w:rsidRPr="00C83D24" w:rsidRDefault="005D2945" w:rsidP="00304EA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304EA1">
              <w:rPr>
                <w:sz w:val="26"/>
                <w:szCs w:val="26"/>
                <w:lang w:val="en-US"/>
              </w:rPr>
              <w:t xml:space="preserve">3.1. </w:t>
            </w:r>
            <w:r w:rsidR="00304EA1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="00304EA1" w:rsidRPr="00FE05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304EA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5D2945" w:rsidRPr="00304EA1" w:rsidRDefault="00304EA1" w:rsidP="005D2945">
            <w:pPr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         </w:t>
            </w:r>
            <w:r w:rsidR="003F3556" w:rsidRPr="00304EA1">
              <w:rPr>
                <w:sz w:val="26"/>
                <w:szCs w:val="26"/>
                <w:lang w:val="en-US"/>
              </w:rPr>
              <w:t xml:space="preserve">______________________ </w:t>
            </w:r>
            <w:r w:rsidR="003F3556">
              <w:rPr>
                <w:sz w:val="26"/>
                <w:szCs w:val="26"/>
              </w:rPr>
              <w:t>Е</w:t>
            </w:r>
            <w:r w:rsidR="003F3556" w:rsidRPr="00304EA1">
              <w:rPr>
                <w:sz w:val="26"/>
                <w:szCs w:val="26"/>
                <w:lang w:val="en-US"/>
              </w:rPr>
              <w:t>.</w:t>
            </w:r>
            <w:r w:rsidR="003F3556">
              <w:rPr>
                <w:sz w:val="26"/>
                <w:szCs w:val="26"/>
              </w:rPr>
              <w:t>Е</w:t>
            </w:r>
            <w:r w:rsidR="003F3556" w:rsidRPr="00304EA1"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Didenko</w:t>
            </w:r>
            <w:bookmarkStart w:id="0" w:name="_GoBack"/>
            <w:bookmarkEnd w:id="0"/>
          </w:p>
          <w:p w:rsidR="005D2945" w:rsidRPr="00304EA1" w:rsidRDefault="005D2945" w:rsidP="005D2945">
            <w:pPr>
              <w:rPr>
                <w:sz w:val="26"/>
                <w:szCs w:val="26"/>
                <w:lang w:val="en-US"/>
              </w:rPr>
            </w:pPr>
            <w:r w:rsidRPr="00304EA1">
              <w:rPr>
                <w:sz w:val="26"/>
                <w:szCs w:val="26"/>
                <w:lang w:val="en-US"/>
              </w:rPr>
              <w:t>(</w:t>
            </w:r>
            <w:r w:rsidR="00304EA1">
              <w:rPr>
                <w:sz w:val="26"/>
                <w:szCs w:val="26"/>
                <w:lang w:val="en-US"/>
              </w:rPr>
              <w:t>per procuration No.</w:t>
            </w:r>
            <w:r w:rsidRPr="00304EA1">
              <w:rPr>
                <w:sz w:val="26"/>
                <w:szCs w:val="26"/>
                <w:lang w:val="en-US"/>
              </w:rPr>
              <w:t>23/256-</w:t>
            </w:r>
            <w:r w:rsidRPr="005D2945">
              <w:rPr>
                <w:sz w:val="26"/>
                <w:szCs w:val="26"/>
              </w:rPr>
              <w:t>н</w:t>
            </w:r>
            <w:r w:rsidRPr="00304EA1">
              <w:rPr>
                <w:sz w:val="26"/>
                <w:szCs w:val="26"/>
                <w:lang w:val="en-US"/>
              </w:rPr>
              <w:t>/23-20</w:t>
            </w:r>
            <w:r w:rsidR="003F3556" w:rsidRPr="00304EA1">
              <w:rPr>
                <w:sz w:val="26"/>
                <w:szCs w:val="26"/>
                <w:lang w:val="en-US"/>
              </w:rPr>
              <w:t>20</w:t>
            </w:r>
            <w:r w:rsidRPr="00304EA1">
              <w:rPr>
                <w:sz w:val="26"/>
                <w:szCs w:val="26"/>
                <w:lang w:val="en-US"/>
              </w:rPr>
              <w:t>-</w:t>
            </w:r>
            <w:r w:rsidR="003F3556" w:rsidRPr="00304EA1">
              <w:rPr>
                <w:sz w:val="26"/>
                <w:szCs w:val="26"/>
                <w:lang w:val="en-US"/>
              </w:rPr>
              <w:t>4</w:t>
            </w:r>
            <w:r w:rsidRPr="00304EA1">
              <w:rPr>
                <w:sz w:val="26"/>
                <w:szCs w:val="26"/>
                <w:lang w:val="en-US"/>
              </w:rPr>
              <w:t>-</w:t>
            </w:r>
            <w:r w:rsidR="003F3556" w:rsidRPr="00304EA1">
              <w:rPr>
                <w:sz w:val="26"/>
                <w:szCs w:val="26"/>
                <w:lang w:val="en-US"/>
              </w:rPr>
              <w:t>130</w:t>
            </w:r>
            <w:r w:rsidRPr="00304EA1">
              <w:rPr>
                <w:sz w:val="26"/>
                <w:szCs w:val="26"/>
                <w:lang w:val="en-US"/>
              </w:rPr>
              <w:t xml:space="preserve"> </w:t>
            </w:r>
            <w:r w:rsidR="00304EA1">
              <w:rPr>
                <w:sz w:val="26"/>
                <w:szCs w:val="26"/>
                <w:lang w:val="en-US"/>
              </w:rPr>
              <w:t>of January</w:t>
            </w:r>
            <w:r w:rsidRPr="00304EA1">
              <w:rPr>
                <w:sz w:val="26"/>
                <w:szCs w:val="26"/>
                <w:lang w:val="en-US"/>
              </w:rPr>
              <w:t xml:space="preserve"> 23</w:t>
            </w:r>
            <w:r w:rsidR="00304EA1">
              <w:rPr>
                <w:sz w:val="26"/>
                <w:szCs w:val="26"/>
                <w:lang w:val="en-US"/>
              </w:rPr>
              <w:t>,</w:t>
            </w:r>
            <w:r w:rsidRPr="00304EA1">
              <w:rPr>
                <w:sz w:val="26"/>
                <w:szCs w:val="26"/>
                <w:lang w:val="en-US"/>
              </w:rPr>
              <w:t>20</w:t>
            </w:r>
            <w:r w:rsidR="003F3556" w:rsidRPr="00304EA1">
              <w:rPr>
                <w:sz w:val="26"/>
                <w:szCs w:val="26"/>
                <w:lang w:val="en-US"/>
              </w:rPr>
              <w:t>20</w:t>
            </w:r>
            <w:r w:rsidR="00304EA1">
              <w:rPr>
                <w:sz w:val="26"/>
                <w:szCs w:val="26"/>
                <w:lang w:val="en-US"/>
              </w:rPr>
              <w:t xml:space="preserve">)    </w:t>
            </w:r>
            <w:r w:rsidRPr="00304EA1">
              <w:rPr>
                <w:sz w:val="26"/>
                <w:szCs w:val="26"/>
                <w:lang w:val="en-US"/>
              </w:rPr>
              <w:t xml:space="preserve">  (</w:t>
            </w:r>
            <w:r w:rsidR="00304EA1">
              <w:rPr>
                <w:sz w:val="26"/>
                <w:szCs w:val="26"/>
                <w:lang w:val="en-US"/>
              </w:rPr>
              <w:t>signature</w:t>
            </w:r>
            <w:r w:rsidRPr="00304EA1">
              <w:rPr>
                <w:sz w:val="26"/>
                <w:szCs w:val="26"/>
                <w:lang w:val="en-US"/>
              </w:rPr>
              <w:t xml:space="preserve">) </w:t>
            </w:r>
          </w:p>
          <w:p w:rsidR="00F70266" w:rsidRPr="00304EA1" w:rsidRDefault="00F70266" w:rsidP="007C6D3E">
            <w:pPr>
              <w:rPr>
                <w:sz w:val="26"/>
                <w:szCs w:val="26"/>
                <w:lang w:val="en-US"/>
              </w:rPr>
            </w:pPr>
          </w:p>
          <w:p w:rsidR="00741003" w:rsidRPr="00304EA1" w:rsidRDefault="00F70266" w:rsidP="00304E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3.2. </w:t>
            </w:r>
            <w:r w:rsid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«</w:t>
            </w:r>
            <w:r w:rsidR="0005018B"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BE1A14"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 w:rsidR="00FF52C2"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February</w:t>
            </w:r>
            <w:r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</w:t>
            </w:r>
            <w:r w:rsidR="005D2945"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</w:t>
            </w:r>
            <w:r w:rsid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 here</w:t>
            </w:r>
          </w:p>
        </w:tc>
      </w:tr>
    </w:tbl>
    <w:p w:rsidR="0045226D" w:rsidRPr="00304EA1" w:rsidRDefault="0045226D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Default="00222B40" w:rsidP="006537DD">
      <w:pPr>
        <w:jc w:val="center"/>
        <w:rPr>
          <w:sz w:val="26"/>
          <w:szCs w:val="26"/>
          <w:lang w:val="en-US"/>
        </w:rPr>
      </w:pPr>
    </w:p>
    <w:p w:rsidR="00222B40" w:rsidRPr="006537DD" w:rsidRDefault="00222B40" w:rsidP="00222B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Сообщения о существенном факте</w:t>
      </w:r>
    </w:p>
    <w:p w:rsidR="00222B40" w:rsidRPr="006537DD" w:rsidRDefault="00222B40" w:rsidP="00222B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«О решениях, принятых советом директоров эмитента»</w:t>
      </w:r>
    </w:p>
    <w:p w:rsidR="00222B40" w:rsidRPr="006537DD" w:rsidRDefault="00222B40" w:rsidP="00222B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222B40" w:rsidRPr="006537DD" w:rsidTr="00D76722">
        <w:tc>
          <w:tcPr>
            <w:tcW w:w="10490" w:type="dxa"/>
            <w:gridSpan w:val="2"/>
          </w:tcPr>
          <w:p w:rsidR="00222B40" w:rsidRPr="006537DD" w:rsidRDefault="00222B40" w:rsidP="00222B4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222B40" w:rsidRPr="006537DD" w:rsidTr="00D76722">
        <w:trPr>
          <w:trHeight w:val="599"/>
        </w:trPr>
        <w:tc>
          <w:tcPr>
            <w:tcW w:w="4253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222B40" w:rsidRPr="006537DD" w:rsidTr="00D76722">
        <w:tc>
          <w:tcPr>
            <w:tcW w:w="4253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ПАО «Кубаньэнерго»</w:t>
            </w:r>
          </w:p>
        </w:tc>
      </w:tr>
      <w:tr w:rsidR="00222B40" w:rsidRPr="006537DD" w:rsidTr="00D76722">
        <w:trPr>
          <w:trHeight w:val="412"/>
        </w:trPr>
        <w:tc>
          <w:tcPr>
            <w:tcW w:w="4253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222B40" w:rsidRPr="006537DD" w:rsidRDefault="00222B40" w:rsidP="00D76722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222B40" w:rsidRPr="006537DD" w:rsidTr="00D76722">
        <w:tc>
          <w:tcPr>
            <w:tcW w:w="4253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237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222B40" w:rsidRPr="006537DD" w:rsidTr="00D76722">
        <w:tc>
          <w:tcPr>
            <w:tcW w:w="4253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237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222B40" w:rsidRPr="006537DD" w:rsidTr="00D76722">
        <w:tc>
          <w:tcPr>
            <w:tcW w:w="4253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222B40" w:rsidRPr="006537DD" w:rsidRDefault="00222B40" w:rsidP="00D76722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222B40" w:rsidRPr="006537DD" w:rsidTr="00D76722">
        <w:tc>
          <w:tcPr>
            <w:tcW w:w="4253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222B40" w:rsidRPr="006537DD" w:rsidRDefault="00222B40" w:rsidP="00D76722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222B40" w:rsidRPr="006537DD" w:rsidRDefault="000032C3" w:rsidP="00D7672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222B40" w:rsidRPr="006537DD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="00222B40"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B40" w:rsidRPr="006537DD" w:rsidTr="00D76722">
        <w:tc>
          <w:tcPr>
            <w:tcW w:w="4253" w:type="dxa"/>
          </w:tcPr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237" w:type="dxa"/>
          </w:tcPr>
          <w:p w:rsidR="00222B40" w:rsidRPr="006537DD" w:rsidRDefault="00222B40" w:rsidP="00D76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</w:t>
            </w:r>
            <w:r w:rsidRPr="006537DD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222B40" w:rsidRPr="006537DD" w:rsidTr="00D76722">
        <w:tc>
          <w:tcPr>
            <w:tcW w:w="10490" w:type="dxa"/>
            <w:gridSpan w:val="2"/>
          </w:tcPr>
          <w:p w:rsidR="00222B40" w:rsidRPr="006537DD" w:rsidRDefault="00222B40" w:rsidP="00D76722">
            <w:pPr>
              <w:jc w:val="center"/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2. Содержание сообщения</w:t>
            </w:r>
          </w:p>
        </w:tc>
      </w:tr>
      <w:tr w:rsidR="00222B40" w:rsidRPr="006537DD" w:rsidTr="00D76722">
        <w:trPr>
          <w:trHeight w:val="2975"/>
        </w:trPr>
        <w:tc>
          <w:tcPr>
            <w:tcW w:w="10490" w:type="dxa"/>
            <w:gridSpan w:val="2"/>
          </w:tcPr>
          <w:p w:rsidR="00222B40" w:rsidRPr="006537DD" w:rsidRDefault="00222B40" w:rsidP="00D7672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222B40" w:rsidRPr="006537DD" w:rsidRDefault="00222B40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222B40" w:rsidRPr="006537DD" w:rsidRDefault="00222B40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заседании приняли участие: 11 человек. </w:t>
            </w:r>
          </w:p>
          <w:p w:rsidR="00222B40" w:rsidRPr="006537DD" w:rsidRDefault="00222B40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222B40" w:rsidRPr="006537DD" w:rsidRDefault="00222B40" w:rsidP="00D7672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222B40" w:rsidRPr="006537DD" w:rsidTr="00D76722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222B40" w:rsidRPr="006537DD" w:rsidTr="00D76722">
              <w:trPr>
                <w:jc w:val="center"/>
              </w:trPr>
              <w:tc>
                <w:tcPr>
                  <w:tcW w:w="1339" w:type="dxa"/>
                  <w:vMerge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222B40" w:rsidRPr="006537DD" w:rsidTr="00D76722">
              <w:trPr>
                <w:jc w:val="center"/>
              </w:trPr>
              <w:tc>
                <w:tcPr>
                  <w:tcW w:w="1339" w:type="dxa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222B40" w:rsidRPr="006537DD" w:rsidRDefault="00222B40" w:rsidP="00D7672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222B40" w:rsidRPr="006537DD" w:rsidRDefault="00222B40" w:rsidP="00D7672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B40" w:rsidRPr="006537DD" w:rsidTr="00D76722">
        <w:tc>
          <w:tcPr>
            <w:tcW w:w="10490" w:type="dxa"/>
            <w:gridSpan w:val="2"/>
          </w:tcPr>
          <w:p w:rsidR="00222B40" w:rsidRPr="006537DD" w:rsidRDefault="00222B40" w:rsidP="00D7672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222B40" w:rsidRPr="006537DD" w:rsidRDefault="00222B40" w:rsidP="00D76722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№1 «</w:t>
            </w:r>
            <w:r w:rsidRPr="00BE1A14">
              <w:rPr>
                <w:b/>
                <w:bCs/>
                <w:i/>
                <w:color w:val="000000" w:themeColor="text1"/>
                <w:sz w:val="26"/>
                <w:szCs w:val="26"/>
              </w:rPr>
              <w:t>Об одобрении проекта изменений, вносимых в инвестиционную программу ПАО «Кубаньэнерго», утвержденную приказом Минэнерго России от 01.12.2017 № 21@ (с учетом изменений, внесенных приказом Минэнерго России от 02.12.2019 №14@)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222B40" w:rsidRPr="006537DD" w:rsidTr="00D76722">
        <w:trPr>
          <w:trHeight w:val="409"/>
        </w:trPr>
        <w:tc>
          <w:tcPr>
            <w:tcW w:w="10490" w:type="dxa"/>
            <w:gridSpan w:val="2"/>
          </w:tcPr>
          <w:p w:rsidR="00222B40" w:rsidRPr="006537DD" w:rsidRDefault="00222B40" w:rsidP="00D7672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2.2.1. Содержание решений, принятых советом директоров эмитента:</w:t>
            </w:r>
          </w:p>
          <w:p w:rsidR="00222B40" w:rsidRPr="00BE1A14" w:rsidRDefault="00222B40" w:rsidP="00D76722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BE1A14">
              <w:rPr>
                <w:bCs/>
                <w:i/>
                <w:iCs/>
                <w:sz w:val="23"/>
                <w:szCs w:val="23"/>
              </w:rPr>
              <w:t>1.</w:t>
            </w:r>
            <w:r w:rsidRPr="00BE1A14">
              <w:rPr>
                <w:bCs/>
                <w:i/>
                <w:iCs/>
                <w:sz w:val="23"/>
                <w:szCs w:val="23"/>
              </w:rPr>
              <w:tab/>
              <w:t>Одобрить проект изменений, вносимых в инвестиционную программу ПАО «Кубаньэнерго» на период 2018-2022 годы, утвержденную приказом Минэнерго России от 01.12.2017 № 21@ (с учетом изменений, внесенных приказом Минэнерго России от 02.12.2019 № 14@), согласно приложению к настоящему решению Совета директоров Общества.</w:t>
            </w:r>
          </w:p>
          <w:p w:rsidR="00222B40" w:rsidRPr="00BE1A14" w:rsidRDefault="00222B40" w:rsidP="00D76722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BE1A14">
              <w:rPr>
                <w:bCs/>
                <w:i/>
                <w:iCs/>
                <w:sz w:val="23"/>
                <w:szCs w:val="23"/>
              </w:rPr>
              <w:t>2.</w:t>
            </w:r>
            <w:r w:rsidRPr="00BE1A14">
              <w:rPr>
                <w:bCs/>
                <w:i/>
                <w:iCs/>
                <w:sz w:val="23"/>
                <w:szCs w:val="23"/>
              </w:rPr>
              <w:tab/>
              <w:t>Поручить Единоличному исполнительному органу ПАО «Кубаньэнерго»:</w:t>
            </w:r>
          </w:p>
          <w:p w:rsidR="00222B40" w:rsidRPr="00BE1A14" w:rsidRDefault="00222B40" w:rsidP="00D76722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BE1A14">
              <w:rPr>
                <w:bCs/>
                <w:i/>
                <w:iCs/>
                <w:sz w:val="23"/>
                <w:szCs w:val="23"/>
              </w:rPr>
              <w:t>2.1.</w:t>
            </w:r>
            <w:r w:rsidRPr="00BE1A14">
              <w:rPr>
                <w:bCs/>
                <w:i/>
                <w:iCs/>
                <w:sz w:val="23"/>
                <w:szCs w:val="23"/>
              </w:rPr>
              <w:tab/>
              <w:t>Организовать утверждение проекта изменений, вносимых в инвестиционную программу ПАО «Кубаньэнерго» на период 2018-2022 годы, утвержденную приказом Минэнерго России от 01.12.2017 № 21@ (с учетом изменений, внесенных приказом Минэнерго России от 02.12.2019 № 14@), в Минэнерго России в порядке, установленном Постановлением Правительства Российской Федерации от 01.12.2009 № 977 «Об инвестиционных программах субъектов электроэнергетики».</w:t>
            </w:r>
          </w:p>
          <w:p w:rsidR="00222B40" w:rsidRPr="00BE1A14" w:rsidRDefault="00222B40" w:rsidP="00D76722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BE1A14">
              <w:rPr>
                <w:bCs/>
                <w:i/>
                <w:iCs/>
                <w:sz w:val="23"/>
                <w:szCs w:val="23"/>
              </w:rPr>
              <w:t>2.2.</w:t>
            </w:r>
            <w:r w:rsidRPr="00BE1A14">
              <w:rPr>
                <w:bCs/>
                <w:i/>
                <w:iCs/>
                <w:sz w:val="23"/>
                <w:szCs w:val="23"/>
              </w:rPr>
              <w:tab/>
              <w:t>Обеспечить в срок до 20.03.2020 рассмотрение на Совете директоров Общества вопроса «О ходе проведения общественного обсуждения проекта инвестиционной программы» с учетом тарифно-балансовых решений и бизнес-плана Общества.</w:t>
            </w:r>
          </w:p>
          <w:p w:rsidR="00222B40" w:rsidRPr="006C2C4C" w:rsidRDefault="00222B40" w:rsidP="00D76722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BE1A14">
              <w:rPr>
                <w:bCs/>
                <w:i/>
                <w:iCs/>
                <w:sz w:val="23"/>
                <w:szCs w:val="23"/>
              </w:rPr>
              <w:lastRenderedPageBreak/>
              <w:t>2.3.</w:t>
            </w:r>
            <w:r w:rsidRPr="00BE1A14">
              <w:rPr>
                <w:bCs/>
                <w:i/>
                <w:iCs/>
                <w:sz w:val="23"/>
                <w:szCs w:val="23"/>
              </w:rPr>
              <w:tab/>
            </w:r>
            <w:proofErr w:type="gramStart"/>
            <w:r w:rsidRPr="00BE1A14">
              <w:rPr>
                <w:bCs/>
                <w:i/>
                <w:iCs/>
                <w:sz w:val="23"/>
                <w:szCs w:val="23"/>
              </w:rPr>
              <w:t>Представить отчет об исполнении п. 2.1 настоящего решения на рассмотрение Совета директоров Общества с указанием причин отклонений утвержденной инвестиционной программы от проекта инвестиционной программы, одобренного Советом директоров Общества (при наличии отклонений), в течение 30 рабочих дней после утверждения проекта изменений, вносимых в инвестиционную программу ПАО «Кубаньэнерго» на период 2018-2022 годы, утвержденную приказом Минэнерго России от 01.12.2017 № 21@ (с учетом изменений</w:t>
            </w:r>
            <w:proofErr w:type="gramEnd"/>
            <w:r w:rsidRPr="00BE1A14">
              <w:rPr>
                <w:bCs/>
                <w:i/>
                <w:iCs/>
                <w:sz w:val="23"/>
                <w:szCs w:val="23"/>
              </w:rPr>
              <w:t>, внесенных приказом Минэнерго России от 02.12.2019 № 14@) в порядке, установленном Постановлением Правительства Российской Федерации от 01.12.2009 № 977 «Об инвестиционных программах субъектов электроэнергетики»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222B40" w:rsidRPr="006537DD" w:rsidTr="00D76722">
        <w:tc>
          <w:tcPr>
            <w:tcW w:w="10490" w:type="dxa"/>
            <w:gridSpan w:val="2"/>
            <w:shd w:val="clear" w:color="auto" w:fill="auto"/>
          </w:tcPr>
          <w:p w:rsidR="00222B40" w:rsidRPr="006537DD" w:rsidRDefault="00222B40" w:rsidP="00D7672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2.3. Дата проведения заседания совета директоров эмитента, на котором приняты соответствующие решения: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февраля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года.</w:t>
            </w:r>
          </w:p>
          <w:p w:rsidR="00222B40" w:rsidRPr="006537DD" w:rsidRDefault="00222B40" w:rsidP="00D7672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</w:t>
            </w:r>
            <w:r w:rsidRPr="006C3F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26 февраля 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года, протокол №37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222B40" w:rsidRPr="006537DD" w:rsidTr="00D76722">
        <w:tc>
          <w:tcPr>
            <w:tcW w:w="10490" w:type="dxa"/>
            <w:gridSpan w:val="2"/>
          </w:tcPr>
          <w:p w:rsidR="00222B40" w:rsidRPr="006537DD" w:rsidRDefault="00222B40" w:rsidP="00D7672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222B40" w:rsidRPr="006537DD" w:rsidTr="00D76722">
        <w:trPr>
          <w:trHeight w:val="1357"/>
        </w:trPr>
        <w:tc>
          <w:tcPr>
            <w:tcW w:w="10490" w:type="dxa"/>
            <w:gridSpan w:val="2"/>
          </w:tcPr>
          <w:p w:rsidR="00222B40" w:rsidRDefault="00222B40" w:rsidP="00D76722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 xml:space="preserve">3.1. </w:t>
            </w:r>
            <w:r>
              <w:rPr>
                <w:sz w:val="26"/>
                <w:szCs w:val="26"/>
              </w:rPr>
              <w:t>Начальник департамента</w:t>
            </w:r>
          </w:p>
          <w:p w:rsidR="00222B40" w:rsidRDefault="00222B40" w:rsidP="00D76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корпоративного управления </w:t>
            </w:r>
          </w:p>
          <w:p w:rsidR="00222B40" w:rsidRPr="005D2945" w:rsidRDefault="00222B40" w:rsidP="00D76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взаимодействия с акционерами                               ______________________ Е.Е. Диденко</w:t>
            </w:r>
          </w:p>
          <w:p w:rsidR="00222B40" w:rsidRPr="005D2945" w:rsidRDefault="00222B40" w:rsidP="00D76722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>(по доверенности №23/256-н/23-20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130</w:t>
            </w:r>
            <w:r w:rsidRPr="005D2945">
              <w:rPr>
                <w:sz w:val="26"/>
                <w:szCs w:val="26"/>
              </w:rPr>
              <w:t xml:space="preserve"> от 23.</w:t>
            </w:r>
            <w:r>
              <w:rPr>
                <w:sz w:val="26"/>
                <w:szCs w:val="26"/>
              </w:rPr>
              <w:t>01</w:t>
            </w:r>
            <w:r w:rsidRPr="005D2945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 xml:space="preserve">)               (подпись) </w:t>
            </w:r>
          </w:p>
          <w:p w:rsidR="00222B40" w:rsidRPr="006537DD" w:rsidRDefault="00222B40" w:rsidP="00D76722">
            <w:pPr>
              <w:rPr>
                <w:sz w:val="26"/>
                <w:szCs w:val="26"/>
              </w:rPr>
            </w:pPr>
          </w:p>
          <w:p w:rsidR="00222B40" w:rsidRPr="006537DD" w:rsidRDefault="00222B40" w:rsidP="00D7672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3.2. Дата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г.                         М.П.</w:t>
            </w:r>
          </w:p>
        </w:tc>
      </w:tr>
    </w:tbl>
    <w:p w:rsidR="00222B40" w:rsidRPr="006537DD" w:rsidRDefault="00222B40" w:rsidP="00222B40">
      <w:pPr>
        <w:jc w:val="center"/>
        <w:rPr>
          <w:sz w:val="26"/>
          <w:szCs w:val="26"/>
        </w:rPr>
      </w:pPr>
    </w:p>
    <w:p w:rsidR="00222B40" w:rsidRPr="00222B40" w:rsidRDefault="00222B40" w:rsidP="006537DD">
      <w:pPr>
        <w:jc w:val="center"/>
        <w:rPr>
          <w:sz w:val="26"/>
          <w:szCs w:val="26"/>
        </w:rPr>
      </w:pPr>
    </w:p>
    <w:sectPr w:rsidR="00222B40" w:rsidRPr="00222B40" w:rsidSect="004509C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C3" w:rsidRDefault="000032C3" w:rsidP="00C5099C">
      <w:r>
        <w:separator/>
      </w:r>
    </w:p>
  </w:endnote>
  <w:endnote w:type="continuationSeparator" w:id="0">
    <w:p w:rsidR="000032C3" w:rsidRDefault="000032C3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C3" w:rsidRDefault="000032C3" w:rsidP="00C5099C">
      <w:r>
        <w:separator/>
      </w:r>
    </w:p>
  </w:footnote>
  <w:footnote w:type="continuationSeparator" w:id="0">
    <w:p w:rsidR="000032C3" w:rsidRDefault="000032C3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9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FA3A89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032C3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655FF"/>
    <w:rsid w:val="000812B4"/>
    <w:rsid w:val="00084028"/>
    <w:rsid w:val="00086832"/>
    <w:rsid w:val="00087563"/>
    <w:rsid w:val="00087DA5"/>
    <w:rsid w:val="00091224"/>
    <w:rsid w:val="000A1166"/>
    <w:rsid w:val="000A5552"/>
    <w:rsid w:val="000B19A7"/>
    <w:rsid w:val="000B22DB"/>
    <w:rsid w:val="000B2E62"/>
    <w:rsid w:val="000D192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31D48"/>
    <w:rsid w:val="00142353"/>
    <w:rsid w:val="00143D25"/>
    <w:rsid w:val="00147EFD"/>
    <w:rsid w:val="00155944"/>
    <w:rsid w:val="00155E90"/>
    <w:rsid w:val="00157223"/>
    <w:rsid w:val="00166C79"/>
    <w:rsid w:val="00166D26"/>
    <w:rsid w:val="00167528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1E6DBD"/>
    <w:rsid w:val="001E75F1"/>
    <w:rsid w:val="0020007C"/>
    <w:rsid w:val="002009E2"/>
    <w:rsid w:val="0020448C"/>
    <w:rsid w:val="00212EFE"/>
    <w:rsid w:val="00222B40"/>
    <w:rsid w:val="0022502C"/>
    <w:rsid w:val="002252C2"/>
    <w:rsid w:val="00225D0E"/>
    <w:rsid w:val="00232B2C"/>
    <w:rsid w:val="00235C54"/>
    <w:rsid w:val="00236918"/>
    <w:rsid w:val="00257AB9"/>
    <w:rsid w:val="00265D89"/>
    <w:rsid w:val="00267CD9"/>
    <w:rsid w:val="00271F6A"/>
    <w:rsid w:val="00273333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C3F6A"/>
    <w:rsid w:val="002D2643"/>
    <w:rsid w:val="002D2F31"/>
    <w:rsid w:val="002D3460"/>
    <w:rsid w:val="002D6A9E"/>
    <w:rsid w:val="002E2769"/>
    <w:rsid w:val="002E2C8F"/>
    <w:rsid w:val="002F5B8F"/>
    <w:rsid w:val="00304EA1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914CE"/>
    <w:rsid w:val="00393C50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3F3556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34DCC"/>
    <w:rsid w:val="004501D1"/>
    <w:rsid w:val="004509CA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66EB"/>
    <w:rsid w:val="004972B6"/>
    <w:rsid w:val="00497E21"/>
    <w:rsid w:val="004A4158"/>
    <w:rsid w:val="004A68E9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5A50"/>
    <w:rsid w:val="00516D7E"/>
    <w:rsid w:val="00524BEA"/>
    <w:rsid w:val="005332BD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2945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04AE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90FAA"/>
    <w:rsid w:val="0069101A"/>
    <w:rsid w:val="006A5A41"/>
    <w:rsid w:val="006A7084"/>
    <w:rsid w:val="006C05EA"/>
    <w:rsid w:val="006C2C4C"/>
    <w:rsid w:val="006C3F57"/>
    <w:rsid w:val="006C3F70"/>
    <w:rsid w:val="006D7BF2"/>
    <w:rsid w:val="006F08DD"/>
    <w:rsid w:val="006F09D1"/>
    <w:rsid w:val="006F73C2"/>
    <w:rsid w:val="00703358"/>
    <w:rsid w:val="0070694D"/>
    <w:rsid w:val="0070781F"/>
    <w:rsid w:val="00714127"/>
    <w:rsid w:val="0073249D"/>
    <w:rsid w:val="00735A80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91BEF"/>
    <w:rsid w:val="007A467C"/>
    <w:rsid w:val="007B689E"/>
    <w:rsid w:val="007C397C"/>
    <w:rsid w:val="007C3B23"/>
    <w:rsid w:val="007C6D3E"/>
    <w:rsid w:val="007D3EC1"/>
    <w:rsid w:val="007D6383"/>
    <w:rsid w:val="007D7D51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76FB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8783B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26E95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676B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4B82"/>
    <w:rsid w:val="00B56683"/>
    <w:rsid w:val="00B574CB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E1A14"/>
    <w:rsid w:val="00BE1FAA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2FF"/>
    <w:rsid w:val="00C64997"/>
    <w:rsid w:val="00C64ADF"/>
    <w:rsid w:val="00C663D2"/>
    <w:rsid w:val="00C67A2E"/>
    <w:rsid w:val="00C71FA5"/>
    <w:rsid w:val="00C75537"/>
    <w:rsid w:val="00C76CE5"/>
    <w:rsid w:val="00C94757"/>
    <w:rsid w:val="00C96DF4"/>
    <w:rsid w:val="00C9747A"/>
    <w:rsid w:val="00CB1E20"/>
    <w:rsid w:val="00CD46FD"/>
    <w:rsid w:val="00CF078F"/>
    <w:rsid w:val="00CF74AC"/>
    <w:rsid w:val="00D00077"/>
    <w:rsid w:val="00D0201A"/>
    <w:rsid w:val="00D0458D"/>
    <w:rsid w:val="00D05386"/>
    <w:rsid w:val="00D065A2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626D8"/>
    <w:rsid w:val="00D661CA"/>
    <w:rsid w:val="00D67557"/>
    <w:rsid w:val="00D7746C"/>
    <w:rsid w:val="00D83715"/>
    <w:rsid w:val="00D8755C"/>
    <w:rsid w:val="00D90760"/>
    <w:rsid w:val="00D91C77"/>
    <w:rsid w:val="00D967F8"/>
    <w:rsid w:val="00DB7480"/>
    <w:rsid w:val="00DC0073"/>
    <w:rsid w:val="00DD7F1C"/>
    <w:rsid w:val="00DE5AED"/>
    <w:rsid w:val="00DF0432"/>
    <w:rsid w:val="00DF1458"/>
    <w:rsid w:val="00E07E71"/>
    <w:rsid w:val="00E10D4D"/>
    <w:rsid w:val="00E111C0"/>
    <w:rsid w:val="00E14EDF"/>
    <w:rsid w:val="00E243F6"/>
    <w:rsid w:val="00E2472C"/>
    <w:rsid w:val="00E31A33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8391D"/>
    <w:rsid w:val="00F906CE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0ED6D-68DD-4A51-915B-229DFFB4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19</cp:revision>
  <cp:lastPrinted>2020-03-02T22:23:00Z</cp:lastPrinted>
  <dcterms:created xsi:type="dcterms:W3CDTF">2019-12-30T13:29:00Z</dcterms:created>
  <dcterms:modified xsi:type="dcterms:W3CDTF">2020-03-02T22:53:00Z</dcterms:modified>
</cp:coreProperties>
</file>