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E5" w:rsidRPr="00397CE5" w:rsidRDefault="00397CE5" w:rsidP="00397CE5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397CE5">
        <w:rPr>
          <w:b/>
          <w:bCs/>
          <w:color w:val="000000"/>
          <w:sz w:val="26"/>
          <w:szCs w:val="26"/>
          <w:lang w:val="en-US"/>
        </w:rPr>
        <w:t xml:space="preserve">Corporate action notification </w:t>
      </w:r>
    </w:p>
    <w:p w:rsidR="00397CE5" w:rsidRPr="00397CE5" w:rsidRDefault="00397CE5" w:rsidP="00397CE5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397CE5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397CE5" w:rsidRPr="00397CE5" w:rsidRDefault="00397CE5" w:rsidP="00397CE5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397CE5">
        <w:rPr>
          <w:b/>
          <w:bCs/>
          <w:color w:val="000000"/>
          <w:sz w:val="26"/>
          <w:szCs w:val="26"/>
        </w:rPr>
        <w:t>(</w:t>
      </w:r>
      <w:r w:rsidRPr="00397CE5"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397CE5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6537DD" w:rsidTr="00ED0877">
        <w:tc>
          <w:tcPr>
            <w:tcW w:w="10348" w:type="dxa"/>
            <w:gridSpan w:val="2"/>
          </w:tcPr>
          <w:p w:rsidR="0045226D" w:rsidRPr="006537DD" w:rsidRDefault="0002612C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397CE5" w:rsidRPr="008F0E9D" w:rsidTr="00ED0877">
        <w:trPr>
          <w:trHeight w:val="599"/>
        </w:trPr>
        <w:tc>
          <w:tcPr>
            <w:tcW w:w="4253" w:type="dxa"/>
          </w:tcPr>
          <w:p w:rsidR="00397CE5" w:rsidRPr="00050440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5" w:type="dxa"/>
          </w:tcPr>
          <w:p w:rsidR="00397CE5" w:rsidRPr="00182FB5" w:rsidRDefault="00397CE5" w:rsidP="0056014D">
            <w:pPr>
              <w:rPr>
                <w:sz w:val="26"/>
                <w:szCs w:val="26"/>
                <w:lang w:val="en-US"/>
              </w:rPr>
            </w:pPr>
            <w:r w:rsidRPr="00182FB5">
              <w:rPr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397CE5" w:rsidRPr="006537DD" w:rsidTr="00ED0877">
        <w:tc>
          <w:tcPr>
            <w:tcW w:w="4253" w:type="dxa"/>
          </w:tcPr>
          <w:p w:rsidR="00397CE5" w:rsidRPr="00050440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5" w:type="dxa"/>
          </w:tcPr>
          <w:p w:rsidR="00397CE5" w:rsidRPr="00182FB5" w:rsidRDefault="00397CE5" w:rsidP="0056014D">
            <w:pPr>
              <w:rPr>
                <w:sz w:val="26"/>
                <w:szCs w:val="26"/>
              </w:rPr>
            </w:pPr>
            <w:r w:rsidRPr="00182FB5">
              <w:rPr>
                <w:sz w:val="26"/>
                <w:szCs w:val="26"/>
              </w:rPr>
              <w:t>PJSC Kubanenergo</w:t>
            </w:r>
          </w:p>
        </w:tc>
      </w:tr>
      <w:tr w:rsidR="00397CE5" w:rsidRPr="006537DD" w:rsidTr="00ED0877">
        <w:trPr>
          <w:trHeight w:val="412"/>
        </w:trPr>
        <w:tc>
          <w:tcPr>
            <w:tcW w:w="4253" w:type="dxa"/>
          </w:tcPr>
          <w:p w:rsidR="00397CE5" w:rsidRPr="00050440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5" w:type="dxa"/>
          </w:tcPr>
          <w:p w:rsidR="00397CE5" w:rsidRPr="00182FB5" w:rsidRDefault="00397CE5" w:rsidP="00560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182FB5">
              <w:rPr>
                <w:sz w:val="26"/>
                <w:szCs w:val="26"/>
              </w:rPr>
              <w:t>he Russian Federation, Krasnodar</w:t>
            </w:r>
          </w:p>
        </w:tc>
      </w:tr>
      <w:tr w:rsidR="00397CE5" w:rsidRPr="006537DD" w:rsidTr="00ED0877">
        <w:tc>
          <w:tcPr>
            <w:tcW w:w="4253" w:type="dxa"/>
          </w:tcPr>
          <w:p w:rsidR="00397CE5" w:rsidRPr="00050440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5" w:type="dxa"/>
          </w:tcPr>
          <w:p w:rsidR="00397CE5" w:rsidRPr="006537DD" w:rsidRDefault="00397CE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397CE5" w:rsidRPr="006537DD" w:rsidTr="00ED0877">
        <w:tc>
          <w:tcPr>
            <w:tcW w:w="4253" w:type="dxa"/>
          </w:tcPr>
          <w:p w:rsidR="00397CE5" w:rsidRPr="00050440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5" w:type="dxa"/>
          </w:tcPr>
          <w:p w:rsidR="00397CE5" w:rsidRPr="006537DD" w:rsidRDefault="00397CE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397CE5" w:rsidRPr="006537DD" w:rsidTr="00ED0877">
        <w:tc>
          <w:tcPr>
            <w:tcW w:w="4253" w:type="dxa"/>
          </w:tcPr>
          <w:p w:rsidR="00397CE5" w:rsidRPr="00050440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5" w:type="dxa"/>
          </w:tcPr>
          <w:p w:rsidR="00397CE5" w:rsidRPr="006537DD" w:rsidRDefault="00397CE5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397CE5" w:rsidRPr="008F0E9D" w:rsidTr="00ED0877">
        <w:tc>
          <w:tcPr>
            <w:tcW w:w="4253" w:type="dxa"/>
          </w:tcPr>
          <w:p w:rsidR="00397CE5" w:rsidRPr="00050440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095" w:type="dxa"/>
          </w:tcPr>
          <w:p w:rsidR="00397CE5" w:rsidRPr="008F0E9D" w:rsidRDefault="00397CE5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8F0E9D">
              <w:rPr>
                <w:sz w:val="26"/>
                <w:szCs w:val="26"/>
                <w:lang w:val="en-US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8F0E9D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r w:rsidRPr="008F0E9D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ru</w:t>
              </w:r>
            </w:hyperlink>
            <w:r w:rsidRPr="008F0E9D">
              <w:rPr>
                <w:sz w:val="26"/>
                <w:szCs w:val="26"/>
                <w:lang w:val="en-US"/>
              </w:rPr>
              <w:t xml:space="preserve">  </w:t>
            </w:r>
          </w:p>
          <w:p w:rsidR="00397CE5" w:rsidRPr="008F0E9D" w:rsidRDefault="00546428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0" w:history="1">
              <w:r w:rsidR="00397CE5" w:rsidRPr="008F0E9D">
                <w:rPr>
                  <w:rStyle w:val="af4"/>
                  <w:rFonts w:ascii="Times New Roman" w:hAnsi="Times New Roman" w:cs="Times New Roman"/>
                  <w:sz w:val="26"/>
                  <w:szCs w:val="26"/>
                  <w:lang w:val="en-US"/>
                </w:rPr>
                <w:t>http://www.e-disclosure.ru/portal/company.aspx?id=2827</w:t>
              </w:r>
            </w:hyperlink>
            <w:r w:rsidR="00397CE5" w:rsidRPr="008F0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397CE5" w:rsidRPr="008F0E9D" w:rsidRDefault="00397CE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97CE5" w:rsidRPr="006537DD" w:rsidTr="00ED0877">
        <w:tc>
          <w:tcPr>
            <w:tcW w:w="4253" w:type="dxa"/>
          </w:tcPr>
          <w:p w:rsidR="00397CE5" w:rsidRPr="00050440" w:rsidRDefault="00397CE5" w:rsidP="0056014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5" w:type="dxa"/>
          </w:tcPr>
          <w:p w:rsidR="00397CE5" w:rsidRPr="006537DD" w:rsidRDefault="00397CE5" w:rsidP="00397C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</w:t>
            </w:r>
            <w:r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6537DD">
              <w:rPr>
                <w:sz w:val="26"/>
                <w:szCs w:val="26"/>
              </w:rPr>
              <w:t>2019</w:t>
            </w:r>
          </w:p>
        </w:tc>
      </w:tr>
      <w:tr w:rsidR="00397CE5" w:rsidRPr="006537DD" w:rsidTr="00ED0877">
        <w:tc>
          <w:tcPr>
            <w:tcW w:w="10348" w:type="dxa"/>
            <w:gridSpan w:val="2"/>
          </w:tcPr>
          <w:p w:rsidR="00397CE5" w:rsidRPr="0002612C" w:rsidRDefault="00397CE5" w:rsidP="0002612C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02612C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397CE5" w:rsidRPr="006537DD" w:rsidTr="00ED0877">
        <w:trPr>
          <w:trHeight w:val="2833"/>
        </w:trPr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sz w:val="26"/>
                <w:szCs w:val="26"/>
                <w:lang w:val="en-US" w:eastAsia="en-US"/>
              </w:rPr>
              <w:t xml:space="preserve">2.1 The quorum for the meeting of the Issuers’ Board of Directors and election returns on decision making: </w:t>
            </w:r>
          </w:p>
          <w:p w:rsidR="0002612C" w:rsidRPr="0002612C" w:rsidRDefault="0002612C" w:rsidP="0002612C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Number of members of the Board of Directors: eleven (11) in number.</w:t>
            </w:r>
          </w:p>
          <w:p w:rsidR="0002612C" w:rsidRPr="0002612C" w:rsidRDefault="0002612C" w:rsidP="0002612C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Number of members participated in the meeting: eleven (11) in number.</w:t>
            </w:r>
          </w:p>
          <w:p w:rsidR="0002612C" w:rsidRPr="0002612C" w:rsidRDefault="0002612C" w:rsidP="0002612C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The quorum of PJSC Kubanenergo Board of Directors is present.</w:t>
            </w:r>
          </w:p>
          <w:p w:rsidR="00397CE5" w:rsidRPr="0002612C" w:rsidRDefault="0002612C" w:rsidP="0002612C">
            <w:pPr>
              <w:tabs>
                <w:tab w:val="left" w:pos="2947"/>
                <w:tab w:val="center" w:pos="5066"/>
              </w:tabs>
              <w:autoSpaceDE/>
              <w:autoSpaceDN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ab/>
            </w:r>
            <w:r w:rsidRPr="0002612C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ab/>
              <w:t>Election returns: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397CE5" w:rsidRPr="006537DD" w:rsidTr="00616714">
              <w:trPr>
                <w:jc w:val="center"/>
              </w:trPr>
              <w:tc>
                <w:tcPr>
                  <w:tcW w:w="1339" w:type="dxa"/>
                  <w:vMerge w:val="restart"/>
                  <w:vAlign w:val="center"/>
                </w:tcPr>
                <w:p w:rsidR="00397CE5" w:rsidRPr="0002612C" w:rsidRDefault="0002612C" w:rsidP="0061671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397CE5" w:rsidRPr="0002612C" w:rsidRDefault="0002612C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397CE5" w:rsidRPr="0002612C" w:rsidRDefault="0002612C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397CE5" w:rsidRPr="0002612C" w:rsidRDefault="0002612C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397CE5" w:rsidRPr="0002612C" w:rsidRDefault="0002612C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397CE5" w:rsidRPr="006537DD" w:rsidRDefault="00397CE5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397CE5" w:rsidRPr="006537DD" w:rsidRDefault="00397CE5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397CE5" w:rsidRPr="006537DD" w:rsidRDefault="00397CE5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397CE5" w:rsidRPr="006537DD" w:rsidRDefault="00397CE5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397CE5" w:rsidRDefault="00397CE5" w:rsidP="00213956">
                  <w:pPr>
                    <w:jc w:val="center"/>
                  </w:pPr>
                  <w:r w:rsidRPr="008B427F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397CE5" w:rsidRDefault="00397CE5" w:rsidP="00213956">
                  <w:pPr>
                    <w:jc w:val="center"/>
                  </w:pPr>
                  <w:r w:rsidRPr="008B427F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633" w:type="dxa"/>
                </w:tcPr>
                <w:p w:rsidR="00397CE5" w:rsidRDefault="00397CE5" w:rsidP="00213956">
                  <w:pPr>
                    <w:jc w:val="center"/>
                  </w:pPr>
                  <w:r w:rsidRPr="008B427F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633" w:type="dxa"/>
                </w:tcPr>
                <w:p w:rsidR="00397CE5" w:rsidRDefault="00397CE5" w:rsidP="00213956">
                  <w:pPr>
                    <w:jc w:val="center"/>
                  </w:pPr>
                  <w:r w:rsidRPr="008B427F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633" w:type="dxa"/>
                </w:tcPr>
                <w:p w:rsidR="00397CE5" w:rsidRDefault="00397CE5" w:rsidP="00213956">
                  <w:pPr>
                    <w:jc w:val="center"/>
                  </w:pPr>
                  <w:r w:rsidRPr="008B427F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97CE5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397CE5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633" w:type="dxa"/>
                </w:tcPr>
                <w:p w:rsidR="00397CE5" w:rsidRDefault="00397CE5" w:rsidP="00213956">
                  <w:pPr>
                    <w:jc w:val="center"/>
                  </w:pPr>
                  <w:r w:rsidRPr="008B427F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97CE5" w:rsidRPr="006537DD" w:rsidRDefault="00397CE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397CE5" w:rsidRPr="006537DD" w:rsidRDefault="00397CE5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CE5" w:rsidRPr="008F0E9D" w:rsidTr="00ED0877"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5741CE" w:rsidRDefault="00397CE5" w:rsidP="0002612C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5741C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5741CE">
              <w:rPr>
                <w:b/>
                <w:sz w:val="26"/>
                <w:szCs w:val="26"/>
                <w:lang w:val="en-US"/>
              </w:rPr>
              <w:t xml:space="preserve">. 1 </w:t>
            </w:r>
            <w:r>
              <w:rPr>
                <w:b/>
                <w:sz w:val="26"/>
                <w:szCs w:val="26"/>
                <w:lang w:val="en-US"/>
              </w:rPr>
              <w:t>“On consideration of the report concerning bottom-line performance business plan of P</w:t>
            </w:r>
            <w:r w:rsidR="0002612C">
              <w:rPr>
                <w:b/>
                <w:sz w:val="26"/>
                <w:szCs w:val="26"/>
                <w:lang w:val="en-US"/>
              </w:rPr>
              <w:t>JSC</w:t>
            </w:r>
            <w:r>
              <w:rPr>
                <w:b/>
                <w:sz w:val="26"/>
                <w:szCs w:val="26"/>
                <w:lang w:val="en-US"/>
              </w:rPr>
              <w:t xml:space="preserve"> Kubanenergo for the first nine months of 2019”.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397CE5" w:rsidP="00AA7EC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0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02612C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602C3E" w:rsidRDefault="00397CE5" w:rsidP="009E3C99">
            <w:pPr>
              <w:tabs>
                <w:tab w:val="left" w:pos="1134"/>
              </w:tabs>
              <w:ind w:firstLine="709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5741CE">
              <w:rPr>
                <w:bCs/>
                <w:i/>
                <w:sz w:val="26"/>
                <w:szCs w:val="26"/>
                <w:lang w:val="en-US"/>
              </w:rPr>
              <w:t>1.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 Take into consideration the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5741CE">
              <w:rPr>
                <w:i/>
                <w:sz w:val="26"/>
                <w:szCs w:val="26"/>
                <w:lang w:val="en-US"/>
              </w:rPr>
              <w:t xml:space="preserve">report concerning bottom-line performance business plan of </w:t>
            </w:r>
            <w:r w:rsidR="0002612C" w:rsidRPr="0002612C">
              <w:rPr>
                <w:i/>
                <w:sz w:val="26"/>
                <w:szCs w:val="26"/>
                <w:lang w:val="en-US"/>
              </w:rPr>
              <w:t>PJSC</w:t>
            </w:r>
            <w:r w:rsidRPr="005741CE">
              <w:rPr>
                <w:i/>
                <w:sz w:val="26"/>
                <w:szCs w:val="26"/>
                <w:lang w:val="en-US"/>
              </w:rPr>
              <w:t xml:space="preserve"> Kubanenergo for the first </w:t>
            </w:r>
            <w:r>
              <w:rPr>
                <w:i/>
                <w:sz w:val="26"/>
                <w:szCs w:val="26"/>
                <w:lang w:val="en-US"/>
              </w:rPr>
              <w:t xml:space="preserve">nine </w:t>
            </w:r>
            <w:r w:rsidRPr="005741CE">
              <w:rPr>
                <w:i/>
                <w:sz w:val="26"/>
                <w:szCs w:val="26"/>
                <w:lang w:val="en-US"/>
              </w:rPr>
              <w:t>months of 2019</w:t>
            </w:r>
            <w:r w:rsidRPr="00602C3E"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  <w:lang w:val="en-US"/>
              </w:rPr>
              <w:t>in accordance with the Appendix No. 1 to the present resolution of the Company’s Board of Directors.</w:t>
            </w:r>
          </w:p>
          <w:p w:rsidR="00397CE5" w:rsidRPr="000513D5" w:rsidRDefault="00397CE5" w:rsidP="000513D5">
            <w:pPr>
              <w:tabs>
                <w:tab w:val="left" w:pos="1134"/>
              </w:tabs>
              <w:ind w:firstLine="709"/>
              <w:jc w:val="both"/>
              <w:rPr>
                <w:i/>
                <w:sz w:val="26"/>
                <w:szCs w:val="26"/>
                <w:highlight w:val="lightGray"/>
                <w:lang w:val="en-US"/>
              </w:rPr>
            </w:pPr>
            <w:r w:rsidRPr="00D06CA8">
              <w:rPr>
                <w:bCs/>
                <w:i/>
                <w:sz w:val="26"/>
                <w:szCs w:val="26"/>
                <w:lang w:val="en-US"/>
              </w:rPr>
              <w:t>2.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 On the basis of performance of the Company </w:t>
            </w:r>
            <w:r w:rsidRPr="005741CE">
              <w:rPr>
                <w:i/>
                <w:sz w:val="26"/>
                <w:szCs w:val="26"/>
                <w:lang w:val="en-US"/>
              </w:rPr>
              <w:t xml:space="preserve">for the first </w:t>
            </w:r>
            <w:r>
              <w:rPr>
                <w:i/>
                <w:sz w:val="26"/>
                <w:szCs w:val="26"/>
                <w:lang w:val="en-US"/>
              </w:rPr>
              <w:t xml:space="preserve">nine </w:t>
            </w:r>
            <w:r w:rsidRPr="005741CE">
              <w:rPr>
                <w:i/>
                <w:sz w:val="26"/>
                <w:szCs w:val="26"/>
                <w:lang w:val="en-US"/>
              </w:rPr>
              <w:t>months of 2019</w:t>
            </w:r>
            <w:r w:rsidRPr="00602C3E"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i/>
                <w:sz w:val="26"/>
                <w:szCs w:val="26"/>
                <w:lang w:val="en-US"/>
              </w:rPr>
              <w:t>it is necessary to mention the deviation of actual figures from planned figures of the business plan</w:t>
            </w:r>
            <w:r>
              <w:rPr>
                <w:i/>
                <w:sz w:val="26"/>
                <w:szCs w:val="26"/>
                <w:lang w:val="en-US"/>
              </w:rPr>
              <w:t xml:space="preserve"> in accordance with the Appendix No. 2 to the present resolution of the Company’s Board of Directors.</w:t>
            </w:r>
            <w:r w:rsidRPr="000513D5">
              <w:rPr>
                <w:i/>
                <w:sz w:val="26"/>
                <w:szCs w:val="26"/>
                <w:highlight w:val="lightGray"/>
                <w:lang w:val="en-US"/>
              </w:rPr>
              <w:t xml:space="preserve"> </w:t>
            </w:r>
          </w:p>
        </w:tc>
      </w:tr>
      <w:tr w:rsidR="00397CE5" w:rsidRPr="008F0E9D" w:rsidTr="00ED0877"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1C2BB0" w:rsidRDefault="00397CE5" w:rsidP="003E2A23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A13495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A13495">
              <w:rPr>
                <w:b/>
                <w:sz w:val="26"/>
                <w:szCs w:val="26"/>
                <w:lang w:val="en-US"/>
              </w:rPr>
              <w:t xml:space="preserve">. 2 </w:t>
            </w:r>
            <w:r>
              <w:rPr>
                <w:b/>
                <w:sz w:val="26"/>
                <w:szCs w:val="26"/>
                <w:lang w:val="en-US"/>
              </w:rPr>
              <w:t>“On the approval of the report concerning bottom-line performance of P</w:t>
            </w:r>
            <w:r w:rsidR="003E2A23">
              <w:rPr>
                <w:b/>
                <w:sz w:val="26"/>
                <w:szCs w:val="26"/>
                <w:lang w:val="en-US"/>
              </w:rPr>
              <w:t>JSC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lastRenderedPageBreak/>
              <w:t xml:space="preserve">Kubanenergo investment program for the third quarter and the first nine months of 2019”. 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0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2.2.2. </w:t>
            </w:r>
            <w:r w:rsidR="0002612C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1C2BB0" w:rsidRDefault="00397CE5" w:rsidP="001C2BB0">
            <w:pPr>
              <w:widowControl w:val="0"/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 w:rsidRPr="001C2BB0">
              <w:rPr>
                <w:bCs/>
                <w:i/>
                <w:sz w:val="26"/>
                <w:szCs w:val="26"/>
                <w:lang w:val="en-US"/>
              </w:rPr>
              <w:t>Take into consideration the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report concerning bottom-line performance of </w:t>
            </w:r>
            <w:r w:rsidR="0002612C" w:rsidRPr="0002612C">
              <w:rPr>
                <w:i/>
                <w:sz w:val="26"/>
                <w:szCs w:val="26"/>
                <w:lang w:val="en-US"/>
              </w:rPr>
              <w:t>PJSC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Kubanenergo investment program for the third quarter and the first nine months of 2019 in accordance with the Appendix No. 3 to the present resolution of the Company’s Board of Directors.</w:t>
            </w:r>
          </w:p>
        </w:tc>
      </w:tr>
      <w:tr w:rsidR="00397CE5" w:rsidRPr="008F0E9D" w:rsidTr="00ED0877"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D730FA" w:rsidRDefault="00397CE5" w:rsidP="003E2A23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D730FA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D730FA">
              <w:rPr>
                <w:b/>
                <w:sz w:val="26"/>
                <w:szCs w:val="26"/>
                <w:lang w:val="en-US"/>
              </w:rPr>
              <w:t xml:space="preserve">. 3 </w:t>
            </w:r>
            <w:r>
              <w:rPr>
                <w:b/>
                <w:sz w:val="26"/>
                <w:szCs w:val="26"/>
                <w:lang w:val="en-US"/>
              </w:rPr>
              <w:t>“On consideration of the report concerning the performance of the Company’s investment projects included in the list of high interest objects of P</w:t>
            </w:r>
            <w:r w:rsidR="003E2A23">
              <w:rPr>
                <w:b/>
                <w:sz w:val="26"/>
                <w:szCs w:val="26"/>
                <w:lang w:val="en-US"/>
              </w:rPr>
              <w:t>JSC</w:t>
            </w:r>
            <w:r>
              <w:rPr>
                <w:b/>
                <w:sz w:val="26"/>
                <w:szCs w:val="26"/>
                <w:lang w:val="en-US"/>
              </w:rPr>
              <w:t xml:space="preserve"> Kubanenergo for the third quarter of 2019”.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261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2.2.3.</w:t>
            </w:r>
            <w:r w:rsidR="0002612C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Content of resolutions passed by the Issuers’ Board of Directors:</w:t>
            </w:r>
          </w:p>
          <w:p w:rsidR="00397CE5" w:rsidRPr="00D730FA" w:rsidRDefault="00397CE5" w:rsidP="00D730FA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 w:rsidRPr="00D730FA">
              <w:rPr>
                <w:i/>
                <w:sz w:val="26"/>
                <w:szCs w:val="26"/>
                <w:lang w:val="en-US"/>
              </w:rPr>
              <w:t>1.</w:t>
            </w:r>
            <w:r w:rsidRPr="00D730FA">
              <w:rPr>
                <w:i/>
                <w:sz w:val="26"/>
                <w:szCs w:val="26"/>
                <w:lang w:val="en-US"/>
              </w:rPr>
              <w:tab/>
            </w:r>
            <w:r>
              <w:rPr>
                <w:i/>
                <w:sz w:val="26"/>
                <w:szCs w:val="26"/>
                <w:lang w:val="en-US"/>
              </w:rPr>
              <w:t>Take into consideration the report concerning</w:t>
            </w:r>
            <w:r w:rsidRPr="00D730FA">
              <w:rPr>
                <w:i/>
                <w:sz w:val="26"/>
                <w:szCs w:val="26"/>
                <w:lang w:val="en-US"/>
              </w:rPr>
              <w:t xml:space="preserve"> the performance of the Company’s investment projects included in the list of high interest objects of </w:t>
            </w:r>
            <w:r w:rsidR="0002612C" w:rsidRPr="0002612C">
              <w:rPr>
                <w:i/>
                <w:sz w:val="26"/>
                <w:szCs w:val="26"/>
                <w:lang w:val="en-US"/>
              </w:rPr>
              <w:t>PJSC</w:t>
            </w:r>
            <w:r w:rsidRPr="00D730FA">
              <w:rPr>
                <w:i/>
                <w:sz w:val="26"/>
                <w:szCs w:val="26"/>
                <w:lang w:val="en-US"/>
              </w:rPr>
              <w:t xml:space="preserve"> Kubanenergo for the third quarter of 2019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in accordance with the Appendix No. </w:t>
            </w:r>
            <w:r>
              <w:rPr>
                <w:i/>
                <w:sz w:val="26"/>
                <w:szCs w:val="26"/>
                <w:lang w:val="en-US"/>
              </w:rPr>
              <w:t>4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  <w:p w:rsidR="00397CE5" w:rsidRPr="008F396F" w:rsidRDefault="00397CE5" w:rsidP="009E3C99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 w:rsidRPr="008F396F">
              <w:rPr>
                <w:i/>
                <w:sz w:val="26"/>
                <w:szCs w:val="26"/>
                <w:lang w:val="en-US"/>
              </w:rPr>
              <w:t>2.</w:t>
            </w:r>
            <w:r w:rsidRPr="008F396F">
              <w:rPr>
                <w:i/>
                <w:sz w:val="26"/>
                <w:szCs w:val="26"/>
                <w:lang w:val="en-US"/>
              </w:rPr>
              <w:tab/>
            </w:r>
            <w:r>
              <w:rPr>
                <w:i/>
                <w:sz w:val="26"/>
                <w:szCs w:val="26"/>
                <w:lang w:val="en-US"/>
              </w:rPr>
              <w:t xml:space="preserve">The Chief Executive Officer of </w:t>
            </w:r>
            <w:r w:rsidR="0002612C" w:rsidRPr="0002612C">
              <w:rPr>
                <w:i/>
                <w:sz w:val="26"/>
                <w:szCs w:val="26"/>
                <w:lang w:val="en-US"/>
              </w:rPr>
              <w:t>PJSC</w:t>
            </w:r>
            <w:r>
              <w:rPr>
                <w:i/>
                <w:sz w:val="26"/>
                <w:szCs w:val="26"/>
                <w:lang w:val="en-US"/>
              </w:rPr>
              <w:t xml:space="preserve"> Kubanenergo should inform:</w:t>
            </w:r>
          </w:p>
          <w:p w:rsidR="00397CE5" w:rsidRDefault="00397CE5" w:rsidP="009E3C99">
            <w:pPr>
              <w:widowControl w:val="0"/>
              <w:tabs>
                <w:tab w:val="left" w:pos="1134"/>
                <w:tab w:val="left" w:pos="1276"/>
              </w:tabs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 w:rsidRPr="007237FC">
              <w:rPr>
                <w:i/>
                <w:sz w:val="26"/>
                <w:szCs w:val="26"/>
                <w:lang w:val="en-US"/>
              </w:rPr>
              <w:t>2.1.</w:t>
            </w:r>
            <w:r w:rsidRPr="007237FC">
              <w:rPr>
                <w:i/>
                <w:sz w:val="26"/>
                <w:szCs w:val="26"/>
                <w:lang w:val="en-US"/>
              </w:rPr>
              <w:tab/>
            </w:r>
            <w:r w:rsidRPr="007237FC">
              <w:rPr>
                <w:i/>
                <w:sz w:val="26"/>
                <w:szCs w:val="26"/>
                <w:lang w:val="en-US"/>
              </w:rPr>
              <w:tab/>
            </w:r>
            <w:proofErr w:type="gramStart"/>
            <w:r>
              <w:rPr>
                <w:i/>
                <w:sz w:val="26"/>
                <w:szCs w:val="26"/>
                <w:lang w:val="en-US"/>
              </w:rPr>
              <w:t>completion</w:t>
            </w:r>
            <w:proofErr w:type="gramEnd"/>
            <w:r>
              <w:rPr>
                <w:i/>
                <w:sz w:val="26"/>
                <w:szCs w:val="26"/>
                <w:lang w:val="en-US"/>
              </w:rPr>
              <w:t xml:space="preserve"> of works and acceptance for operation of introductory high interest objects of the current year.</w:t>
            </w:r>
          </w:p>
          <w:p w:rsidR="00397CE5" w:rsidRPr="007237FC" w:rsidRDefault="00397CE5" w:rsidP="009E3C99">
            <w:pPr>
              <w:widowControl w:val="0"/>
              <w:tabs>
                <w:tab w:val="left" w:pos="1134"/>
                <w:tab w:val="left" w:pos="1276"/>
              </w:tabs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</w:t>
            </w:r>
            <w:r w:rsidRPr="007237FC">
              <w:rPr>
                <w:i/>
                <w:sz w:val="26"/>
                <w:szCs w:val="26"/>
                <w:lang w:val="en-US"/>
              </w:rPr>
              <w:t>ime for completion of works</w:t>
            </w:r>
            <w:r>
              <w:rPr>
                <w:i/>
                <w:sz w:val="26"/>
                <w:szCs w:val="26"/>
                <w:lang w:val="en-US"/>
              </w:rPr>
              <w:t xml:space="preserve"> – December 31, 2019.</w:t>
            </w:r>
          </w:p>
          <w:p w:rsidR="00397CE5" w:rsidRPr="00012B23" w:rsidRDefault="00397CE5" w:rsidP="00012B23">
            <w:pPr>
              <w:widowControl w:val="0"/>
              <w:tabs>
                <w:tab w:val="left" w:pos="1134"/>
                <w:tab w:val="left" w:pos="1276"/>
              </w:tabs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 w:rsidRPr="008F0E9D">
              <w:rPr>
                <w:i/>
                <w:sz w:val="26"/>
                <w:szCs w:val="26"/>
                <w:lang w:val="en-US"/>
              </w:rPr>
              <w:t>2.2.</w:t>
            </w:r>
            <w:r w:rsidRPr="008F0E9D">
              <w:rPr>
                <w:i/>
                <w:sz w:val="26"/>
                <w:szCs w:val="26"/>
                <w:lang w:val="en-US"/>
              </w:rPr>
              <w:tab/>
            </w:r>
            <w:r w:rsidRPr="008F0E9D">
              <w:rPr>
                <w:i/>
                <w:sz w:val="26"/>
                <w:szCs w:val="26"/>
                <w:lang w:val="en-US"/>
              </w:rPr>
              <w:tab/>
            </w:r>
            <w:r>
              <w:rPr>
                <w:i/>
                <w:sz w:val="26"/>
                <w:szCs w:val="26"/>
                <w:lang w:val="en-US"/>
              </w:rPr>
              <w:t>compliance with the provisions of regulatory and administrative documents regulating acceptance procedure for operation of completed construction projects.</w:t>
            </w:r>
          </w:p>
        </w:tc>
      </w:tr>
      <w:tr w:rsidR="00397CE5" w:rsidRPr="008F0E9D" w:rsidTr="00ED0877"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02612C" w:rsidRDefault="00397CE5" w:rsidP="0002612C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1C624A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1C624A">
              <w:rPr>
                <w:b/>
                <w:sz w:val="26"/>
                <w:szCs w:val="26"/>
                <w:lang w:val="en-US"/>
              </w:rPr>
              <w:t>. 4</w:t>
            </w:r>
            <w:r>
              <w:rPr>
                <w:b/>
                <w:sz w:val="26"/>
                <w:szCs w:val="26"/>
                <w:lang w:val="en-US"/>
              </w:rPr>
              <w:t xml:space="preserve"> “On consideration of measures for the maintenance of the effective risk management system of </w:t>
            </w:r>
            <w:r w:rsidR="0002612C" w:rsidRPr="0002612C">
              <w:rPr>
                <w:b/>
                <w:sz w:val="26"/>
                <w:szCs w:val="26"/>
                <w:lang w:val="en-US"/>
              </w:rPr>
              <w:t>PJSC</w:t>
            </w:r>
            <w:r w:rsidR="0002612C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Kubanenergo”.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0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2.2.4. </w:t>
            </w:r>
            <w:r w:rsidR="0002612C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1C624A" w:rsidRDefault="00397CE5" w:rsidP="009E3C99">
            <w:pPr>
              <w:tabs>
                <w:tab w:val="left" w:pos="1134"/>
              </w:tabs>
              <w:ind w:firstLine="709"/>
              <w:contextualSpacing/>
              <w:jc w:val="both"/>
              <w:rPr>
                <w:i/>
                <w:sz w:val="26"/>
                <w:szCs w:val="26"/>
                <w:lang w:val="en-US"/>
              </w:rPr>
            </w:pPr>
            <w:r w:rsidRPr="001C624A">
              <w:rPr>
                <w:i/>
                <w:sz w:val="26"/>
                <w:szCs w:val="26"/>
                <w:lang w:val="en-US"/>
              </w:rPr>
              <w:t>1.</w:t>
            </w:r>
            <w:r w:rsidRPr="001C624A">
              <w:rPr>
                <w:i/>
                <w:sz w:val="26"/>
                <w:szCs w:val="26"/>
                <w:lang w:val="en-US"/>
              </w:rPr>
              <w:tab/>
            </w:r>
            <w:r>
              <w:rPr>
                <w:i/>
                <w:sz w:val="26"/>
                <w:szCs w:val="26"/>
                <w:lang w:val="en-US"/>
              </w:rPr>
              <w:t>Take into consideration the results of the external independent evaluation of risk management system of P</w:t>
            </w:r>
            <w:r w:rsidR="0002612C">
              <w:rPr>
                <w:i/>
                <w:sz w:val="26"/>
                <w:szCs w:val="26"/>
                <w:lang w:val="en-US"/>
              </w:rPr>
              <w:t>JSC</w:t>
            </w:r>
            <w:r>
              <w:rPr>
                <w:i/>
                <w:sz w:val="26"/>
                <w:szCs w:val="26"/>
                <w:lang w:val="en-US"/>
              </w:rPr>
              <w:t xml:space="preserve"> Kubanenergo.</w:t>
            </w:r>
          </w:p>
          <w:p w:rsidR="00397CE5" w:rsidRPr="000E1ED9" w:rsidRDefault="00397CE5" w:rsidP="0002612C">
            <w:pPr>
              <w:widowControl w:val="0"/>
              <w:ind w:firstLine="743"/>
              <w:jc w:val="both"/>
              <w:rPr>
                <w:b/>
                <w:sz w:val="26"/>
                <w:szCs w:val="26"/>
                <w:lang w:val="en-US"/>
              </w:rPr>
            </w:pPr>
            <w:r w:rsidRPr="001C624A">
              <w:rPr>
                <w:rFonts w:eastAsia="Calibri"/>
                <w:i/>
                <w:sz w:val="26"/>
                <w:szCs w:val="26"/>
                <w:lang w:val="en-US"/>
              </w:rPr>
              <w:t>2.</w:t>
            </w:r>
            <w:r w:rsidRPr="001C624A">
              <w:rPr>
                <w:rFonts w:eastAsia="Calibri"/>
                <w:i/>
                <w:sz w:val="26"/>
                <w:szCs w:val="26"/>
                <w:lang w:val="en-US"/>
              </w:rPr>
              <w:tab/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To approve the plan for development and improvement of </w:t>
            </w:r>
            <w:r>
              <w:rPr>
                <w:i/>
                <w:sz w:val="26"/>
                <w:szCs w:val="26"/>
                <w:lang w:val="en-US"/>
              </w:rPr>
              <w:t xml:space="preserve">risk management system of </w:t>
            </w:r>
            <w:r w:rsidR="0002612C" w:rsidRPr="0002612C">
              <w:rPr>
                <w:i/>
                <w:sz w:val="26"/>
                <w:szCs w:val="26"/>
                <w:lang w:val="en-US"/>
              </w:rPr>
              <w:t>PJSC</w:t>
            </w:r>
            <w:r>
              <w:rPr>
                <w:i/>
                <w:sz w:val="26"/>
                <w:szCs w:val="26"/>
                <w:lang w:val="en-US"/>
              </w:rPr>
              <w:t xml:space="preserve"> Kubanenergo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in accordance with the Appendix No. </w:t>
            </w:r>
            <w:r>
              <w:rPr>
                <w:i/>
                <w:sz w:val="26"/>
                <w:szCs w:val="26"/>
                <w:lang w:val="en-US"/>
              </w:rPr>
              <w:t>5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D80494" w:rsidRDefault="00397CE5" w:rsidP="003E2A23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1C624A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1C624A">
              <w:rPr>
                <w:b/>
                <w:sz w:val="26"/>
                <w:szCs w:val="26"/>
                <w:lang w:val="en-US"/>
              </w:rPr>
              <w:t xml:space="preserve">. </w:t>
            </w:r>
            <w:r w:rsidRPr="000E1ED9">
              <w:rPr>
                <w:b/>
                <w:sz w:val="26"/>
                <w:szCs w:val="26"/>
                <w:lang w:val="en-US"/>
              </w:rPr>
              <w:t xml:space="preserve">5 </w:t>
            </w:r>
            <w:r>
              <w:rPr>
                <w:b/>
                <w:sz w:val="26"/>
                <w:szCs w:val="26"/>
                <w:lang w:val="en-US"/>
              </w:rPr>
              <w:t>“On the approval of the budgets of the Board of Directors’ committees of P</w:t>
            </w:r>
            <w:r w:rsidR="003E2A23">
              <w:rPr>
                <w:b/>
                <w:sz w:val="26"/>
                <w:szCs w:val="26"/>
                <w:lang w:val="en-US"/>
              </w:rPr>
              <w:t>JSC</w:t>
            </w:r>
            <w:r>
              <w:rPr>
                <w:b/>
                <w:sz w:val="26"/>
                <w:szCs w:val="26"/>
                <w:lang w:val="en-US"/>
              </w:rPr>
              <w:t xml:space="preserve"> Kubanenergo for the second half of the 2019”.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02612C" w:rsidRDefault="00397CE5" w:rsidP="0002612C">
            <w:pPr>
              <w:widowControl w:val="0"/>
              <w:ind w:firstLine="34"/>
              <w:jc w:val="both"/>
              <w:rPr>
                <w:sz w:val="26"/>
                <w:szCs w:val="26"/>
                <w:lang w:val="en-US"/>
              </w:rPr>
            </w:pPr>
            <w:r w:rsidRPr="008F0E9D">
              <w:rPr>
                <w:sz w:val="26"/>
                <w:szCs w:val="26"/>
                <w:lang w:val="en-US"/>
              </w:rPr>
              <w:t xml:space="preserve">2.2.5. </w:t>
            </w:r>
            <w:r w:rsidR="0002612C" w:rsidRPr="00EB1D26">
              <w:rPr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D80494" w:rsidRDefault="00397CE5" w:rsidP="0002612C">
            <w:pPr>
              <w:widowControl w:val="0"/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 xml:space="preserve">To approve the </w:t>
            </w:r>
            <w:r w:rsidRPr="00D80494">
              <w:rPr>
                <w:i/>
                <w:sz w:val="26"/>
                <w:szCs w:val="26"/>
                <w:lang w:val="en-US"/>
              </w:rPr>
              <w:t>budgets of the Board of Directors’ committees of P</w:t>
            </w:r>
            <w:r w:rsidR="0002612C">
              <w:rPr>
                <w:i/>
                <w:sz w:val="26"/>
                <w:szCs w:val="26"/>
                <w:lang w:val="en-US"/>
              </w:rPr>
              <w:t>JSC</w:t>
            </w:r>
            <w:r w:rsidRPr="00D80494">
              <w:rPr>
                <w:i/>
                <w:sz w:val="26"/>
                <w:szCs w:val="26"/>
                <w:lang w:val="en-US"/>
              </w:rPr>
              <w:t xml:space="preserve"> Kubanenergo for the second half of the 2019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in accordance with the Appendix No. </w:t>
            </w:r>
            <w:r>
              <w:rPr>
                <w:i/>
                <w:sz w:val="26"/>
                <w:szCs w:val="26"/>
                <w:lang w:val="en-US"/>
              </w:rPr>
              <w:t>6-10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7D675E" w:rsidRDefault="00397CE5" w:rsidP="0002612C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1C624A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1C624A">
              <w:rPr>
                <w:b/>
                <w:sz w:val="26"/>
                <w:szCs w:val="26"/>
                <w:lang w:val="en-US"/>
              </w:rPr>
              <w:t xml:space="preserve">. </w:t>
            </w:r>
            <w:r w:rsidRPr="00D80494">
              <w:rPr>
                <w:b/>
                <w:sz w:val="26"/>
                <w:szCs w:val="26"/>
                <w:lang w:val="en-US"/>
              </w:rPr>
              <w:t xml:space="preserve">6 </w:t>
            </w:r>
            <w:r>
              <w:rPr>
                <w:b/>
                <w:sz w:val="26"/>
                <w:szCs w:val="26"/>
                <w:lang w:val="en-US"/>
              </w:rPr>
              <w:t>“On consideration of the report of General Director of P</w:t>
            </w:r>
            <w:r w:rsidR="0002612C">
              <w:rPr>
                <w:b/>
                <w:sz w:val="26"/>
                <w:szCs w:val="26"/>
                <w:lang w:val="en-US"/>
              </w:rPr>
              <w:t>JSC</w:t>
            </w:r>
            <w:r>
              <w:rPr>
                <w:b/>
                <w:sz w:val="26"/>
                <w:szCs w:val="26"/>
                <w:lang w:val="en-US"/>
              </w:rPr>
              <w:t xml:space="preserve"> Kubanenergo concerning the results of the Company availability for service in the autumn-winter period of 2019-2020”.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0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2.2.6. </w:t>
            </w:r>
            <w:r w:rsidR="0002612C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7D675E" w:rsidRDefault="00397CE5" w:rsidP="0002612C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i/>
                <w:sz w:val="26"/>
                <w:szCs w:val="26"/>
                <w:lang w:val="en-US"/>
              </w:rPr>
              <w:t>Take into consideration the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36ADF">
              <w:rPr>
                <w:i/>
                <w:sz w:val="26"/>
                <w:szCs w:val="26"/>
                <w:lang w:val="en-US"/>
              </w:rPr>
              <w:t xml:space="preserve">report of General </w:t>
            </w:r>
            <w:r w:rsidR="0002612C">
              <w:rPr>
                <w:i/>
                <w:sz w:val="26"/>
                <w:szCs w:val="26"/>
                <w:lang w:val="en-US"/>
              </w:rPr>
              <w:t>Director of PJSC</w:t>
            </w:r>
            <w:r w:rsidRPr="00C36ADF">
              <w:rPr>
                <w:i/>
                <w:sz w:val="26"/>
                <w:szCs w:val="26"/>
                <w:lang w:val="en-US"/>
              </w:rPr>
              <w:t xml:space="preserve"> Kubanenergo concerning the results of the Company availability for service in the autumn-winter period of 2019-2020 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in accordance with the Appendix No. </w:t>
            </w:r>
            <w:r>
              <w:rPr>
                <w:i/>
                <w:sz w:val="26"/>
                <w:szCs w:val="26"/>
                <w:lang w:val="en-US"/>
              </w:rPr>
              <w:t>11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4B502D" w:rsidRDefault="00397CE5" w:rsidP="009E3C99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C36ADF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C36ADF">
              <w:rPr>
                <w:b/>
                <w:sz w:val="26"/>
                <w:szCs w:val="26"/>
                <w:lang w:val="en-US"/>
              </w:rPr>
              <w:t xml:space="preserve">. 7 </w:t>
            </w:r>
            <w:r>
              <w:rPr>
                <w:b/>
                <w:sz w:val="26"/>
                <w:szCs w:val="26"/>
                <w:lang w:val="en-US"/>
              </w:rPr>
              <w:t>“On the approval of KPI targets of the Company director and other lead managers of IAD of the Company for 2020”.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0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2.2.7. </w:t>
            </w:r>
            <w:r w:rsidR="0002612C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C36ADF" w:rsidRDefault="00397CE5" w:rsidP="004B502D">
            <w:pPr>
              <w:widowControl w:val="0"/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 w:rsidRPr="004B502D">
              <w:rPr>
                <w:i/>
                <w:sz w:val="26"/>
                <w:szCs w:val="26"/>
                <w:lang w:val="en-US"/>
              </w:rPr>
              <w:t xml:space="preserve">1. </w:t>
            </w:r>
            <w:r>
              <w:rPr>
                <w:i/>
                <w:sz w:val="26"/>
                <w:szCs w:val="26"/>
                <w:lang w:val="en-US"/>
              </w:rPr>
              <w:t>To approve the design procedure and KPI evaluation</w:t>
            </w:r>
            <w:r w:rsidRPr="004B502D"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  <w:lang w:val="en-US"/>
              </w:rPr>
              <w:t xml:space="preserve">of the Company director and internal audit unit </w:t>
            </w:r>
            <w:r w:rsidRPr="00777517">
              <w:rPr>
                <w:i/>
                <w:sz w:val="26"/>
                <w:szCs w:val="26"/>
                <w:lang w:val="en-US"/>
              </w:rPr>
              <w:t>employee</w:t>
            </w:r>
            <w:r>
              <w:rPr>
                <w:i/>
                <w:sz w:val="26"/>
                <w:szCs w:val="26"/>
                <w:lang w:val="en-US"/>
              </w:rPr>
              <w:t>s of P</w:t>
            </w:r>
            <w:r w:rsidR="0002612C">
              <w:rPr>
                <w:i/>
                <w:sz w:val="26"/>
                <w:szCs w:val="26"/>
                <w:lang w:val="en-US"/>
              </w:rPr>
              <w:t>JSC</w:t>
            </w:r>
            <w:r>
              <w:rPr>
                <w:i/>
                <w:sz w:val="26"/>
                <w:szCs w:val="26"/>
                <w:lang w:val="en-US"/>
              </w:rPr>
              <w:t xml:space="preserve"> Kubanenergo 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in accordance with the Appendix No. </w:t>
            </w:r>
            <w:r>
              <w:rPr>
                <w:i/>
                <w:sz w:val="26"/>
                <w:szCs w:val="26"/>
                <w:lang w:val="en-US"/>
              </w:rPr>
              <w:t>12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  <w:p w:rsidR="00397CE5" w:rsidRPr="00C36ADF" w:rsidRDefault="00397CE5" w:rsidP="009E3C99">
            <w:pPr>
              <w:widowControl w:val="0"/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 w:rsidRPr="00C36ADF">
              <w:rPr>
                <w:i/>
                <w:sz w:val="26"/>
                <w:szCs w:val="26"/>
                <w:lang w:val="en-US"/>
              </w:rPr>
              <w:lastRenderedPageBreak/>
              <w:t>2.</w:t>
            </w:r>
            <w:r>
              <w:rPr>
                <w:i/>
                <w:sz w:val="26"/>
                <w:szCs w:val="26"/>
                <w:lang w:val="en-US"/>
              </w:rPr>
              <w:t xml:space="preserve"> To appoint KPI targets of the Company director and internal audit unit </w:t>
            </w:r>
            <w:r w:rsidRPr="00777517">
              <w:rPr>
                <w:i/>
                <w:sz w:val="26"/>
                <w:szCs w:val="26"/>
                <w:lang w:val="en-US"/>
              </w:rPr>
              <w:t>employee</w:t>
            </w:r>
            <w:r w:rsidR="003E2A23">
              <w:rPr>
                <w:i/>
                <w:sz w:val="26"/>
                <w:szCs w:val="26"/>
                <w:lang w:val="en-US"/>
              </w:rPr>
              <w:t>s of PJSC</w:t>
            </w:r>
            <w:r>
              <w:rPr>
                <w:i/>
                <w:sz w:val="26"/>
                <w:szCs w:val="26"/>
                <w:lang w:val="en-US"/>
              </w:rPr>
              <w:t xml:space="preserve"> Kubanenergo for 2020 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in accordance with the Appendix No. </w:t>
            </w:r>
            <w:r>
              <w:rPr>
                <w:i/>
                <w:sz w:val="26"/>
                <w:szCs w:val="26"/>
                <w:lang w:val="en-US"/>
              </w:rPr>
              <w:t>13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  <w:p w:rsidR="00397CE5" w:rsidRPr="008B2478" w:rsidRDefault="00397CE5" w:rsidP="0002612C">
            <w:pPr>
              <w:widowControl w:val="0"/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 w:rsidRPr="00660C4C">
              <w:rPr>
                <w:i/>
                <w:sz w:val="26"/>
                <w:szCs w:val="26"/>
                <w:lang w:val="en-US"/>
              </w:rPr>
              <w:t>3.</w:t>
            </w:r>
            <w:r>
              <w:rPr>
                <w:i/>
                <w:sz w:val="26"/>
                <w:szCs w:val="26"/>
                <w:lang w:val="en-US"/>
              </w:rPr>
              <w:t xml:space="preserve"> To assign the General Director of the Company to approve the </w:t>
            </w:r>
            <w:r w:rsidRPr="00126B73">
              <w:rPr>
                <w:i/>
                <w:sz w:val="26"/>
                <w:szCs w:val="26"/>
                <w:lang w:val="en-US"/>
              </w:rPr>
              <w:t>design procedure and KPI evaluation of the Company directo</w:t>
            </w:r>
            <w:r>
              <w:rPr>
                <w:i/>
                <w:sz w:val="26"/>
                <w:szCs w:val="26"/>
                <w:lang w:val="en-US"/>
              </w:rPr>
              <w:t xml:space="preserve">r and internal audit unit </w:t>
            </w:r>
            <w:r w:rsidRPr="00777517">
              <w:rPr>
                <w:i/>
                <w:sz w:val="26"/>
                <w:szCs w:val="26"/>
                <w:lang w:val="en-US"/>
              </w:rPr>
              <w:t>employee</w:t>
            </w:r>
            <w:r>
              <w:rPr>
                <w:i/>
                <w:sz w:val="26"/>
                <w:szCs w:val="26"/>
                <w:lang w:val="en-US"/>
              </w:rPr>
              <w:t>s</w:t>
            </w:r>
            <w:r w:rsidRPr="008B2478"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  <w:lang w:val="en-US"/>
              </w:rPr>
              <w:t>of P</w:t>
            </w:r>
            <w:r w:rsidR="0002612C">
              <w:rPr>
                <w:i/>
                <w:sz w:val="26"/>
                <w:szCs w:val="26"/>
                <w:lang w:val="en-US"/>
              </w:rPr>
              <w:t>JSC</w:t>
            </w:r>
            <w:r>
              <w:rPr>
                <w:i/>
                <w:sz w:val="26"/>
                <w:szCs w:val="26"/>
                <w:lang w:val="en-US"/>
              </w:rPr>
              <w:t xml:space="preserve"> Kubanenergo, </w:t>
            </w:r>
            <w:r w:rsidRPr="00966134">
              <w:rPr>
                <w:i/>
                <w:sz w:val="26"/>
                <w:szCs w:val="26"/>
                <w:lang w:val="en-US"/>
              </w:rPr>
              <w:t>KPI targets of the Company director and internal audit unit employees</w:t>
            </w:r>
            <w:r>
              <w:rPr>
                <w:i/>
                <w:sz w:val="26"/>
                <w:szCs w:val="26"/>
                <w:lang w:val="en-US"/>
              </w:rPr>
              <w:t xml:space="preserve"> of the Company</w:t>
            </w:r>
            <w:r w:rsidRPr="00966134">
              <w:rPr>
                <w:i/>
                <w:sz w:val="26"/>
                <w:szCs w:val="26"/>
                <w:lang w:val="en-US"/>
              </w:rPr>
              <w:t xml:space="preserve"> for 2020</w:t>
            </w:r>
            <w:r>
              <w:rPr>
                <w:i/>
                <w:sz w:val="26"/>
                <w:szCs w:val="26"/>
                <w:lang w:val="en-US"/>
              </w:rPr>
              <w:t>, specified in Clauses 1 and 2</w:t>
            </w:r>
            <w:r w:rsidRPr="00966134"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  <w:lang w:val="en-US"/>
              </w:rPr>
              <w:t xml:space="preserve">to the present resolution </w:t>
            </w:r>
            <w:r w:rsidRPr="00966134">
              <w:rPr>
                <w:i/>
                <w:sz w:val="26"/>
                <w:szCs w:val="26"/>
                <w:lang w:val="en-US"/>
              </w:rPr>
              <w:t xml:space="preserve">in accordance with the specified procedure. 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lastRenderedPageBreak/>
              <w:t>Disclosure of insider information</w:t>
            </w:r>
          </w:p>
          <w:p w:rsidR="00397CE5" w:rsidRPr="00950521" w:rsidRDefault="00397CE5" w:rsidP="009E3C99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9430BC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9430BC">
              <w:rPr>
                <w:b/>
                <w:sz w:val="26"/>
                <w:szCs w:val="26"/>
                <w:lang w:val="en-US"/>
              </w:rPr>
              <w:t xml:space="preserve">. 8 </w:t>
            </w:r>
            <w:r>
              <w:rPr>
                <w:b/>
                <w:sz w:val="26"/>
                <w:szCs w:val="26"/>
                <w:lang w:val="en-US"/>
              </w:rPr>
              <w:t>“On consideration of results of the external independent evaluation of procedure of work performance of the Company’s internal audit”.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02612C" w:rsidRDefault="00397CE5" w:rsidP="0002612C">
            <w:pPr>
              <w:jc w:val="both"/>
              <w:rPr>
                <w:sz w:val="26"/>
                <w:szCs w:val="26"/>
                <w:lang w:val="en-US"/>
              </w:rPr>
            </w:pPr>
            <w:r w:rsidRPr="008F0E9D">
              <w:rPr>
                <w:sz w:val="26"/>
                <w:szCs w:val="26"/>
                <w:lang w:val="en-US"/>
              </w:rPr>
              <w:t xml:space="preserve">2.2.8. </w:t>
            </w:r>
            <w:r w:rsidR="0002612C" w:rsidRPr="00EB1D26">
              <w:rPr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6C5307" w:rsidRDefault="00397CE5" w:rsidP="009E3C99">
            <w:pPr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 w:rsidRPr="009430BC">
              <w:rPr>
                <w:bCs/>
                <w:i/>
                <w:sz w:val="26"/>
                <w:szCs w:val="26"/>
                <w:lang w:val="en-US"/>
              </w:rPr>
              <w:t>1.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 Take into consideration the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36ADF">
              <w:rPr>
                <w:i/>
                <w:sz w:val="26"/>
                <w:szCs w:val="26"/>
                <w:lang w:val="en-US"/>
              </w:rPr>
              <w:t>report of</w:t>
            </w:r>
            <w:r>
              <w:rPr>
                <w:i/>
                <w:sz w:val="26"/>
                <w:szCs w:val="26"/>
                <w:lang w:val="en-US"/>
              </w:rPr>
              <w:t xml:space="preserve"> independent expert of AO KPMG and evaluation of </w:t>
            </w:r>
            <w:r w:rsidRPr="006C5307">
              <w:rPr>
                <w:i/>
                <w:sz w:val="26"/>
                <w:szCs w:val="26"/>
                <w:lang w:val="en-US"/>
              </w:rPr>
              <w:t>procedure of work performance of P</w:t>
            </w:r>
            <w:r w:rsidR="0002612C">
              <w:rPr>
                <w:i/>
                <w:sz w:val="26"/>
                <w:szCs w:val="26"/>
                <w:lang w:val="en-US"/>
              </w:rPr>
              <w:t>JSC</w:t>
            </w:r>
            <w:r w:rsidRPr="006C5307">
              <w:rPr>
                <w:i/>
                <w:sz w:val="26"/>
                <w:szCs w:val="26"/>
                <w:lang w:val="en-US"/>
              </w:rPr>
              <w:t xml:space="preserve"> Kubanenergo internal audit</w:t>
            </w:r>
            <w:r w:rsidRPr="00ED285A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  <w:lang w:val="en-US"/>
              </w:rPr>
              <w:t xml:space="preserve">principally conforming to the </w:t>
            </w:r>
            <w:r w:rsidRPr="00ED285A">
              <w:rPr>
                <w:i/>
                <w:sz w:val="26"/>
                <w:szCs w:val="26"/>
                <w:lang w:val="en-US"/>
              </w:rPr>
              <w:t>International Standards for the Professional Practice of Internal Auditing</w:t>
            </w:r>
            <w:r>
              <w:rPr>
                <w:i/>
                <w:sz w:val="26"/>
                <w:szCs w:val="26"/>
                <w:lang w:val="en-US"/>
              </w:rPr>
              <w:t>, Code of Ethics developed by the I</w:t>
            </w:r>
            <w:r w:rsidRPr="006C5307">
              <w:rPr>
                <w:i/>
                <w:sz w:val="26"/>
                <w:szCs w:val="26"/>
                <w:lang w:val="en-US"/>
              </w:rPr>
              <w:t xml:space="preserve">nstitute of </w:t>
            </w:r>
            <w:r>
              <w:rPr>
                <w:i/>
                <w:sz w:val="26"/>
                <w:szCs w:val="26"/>
                <w:lang w:val="en-US"/>
              </w:rPr>
              <w:t>I</w:t>
            </w:r>
            <w:r w:rsidRPr="006C5307">
              <w:rPr>
                <w:i/>
                <w:sz w:val="26"/>
                <w:szCs w:val="26"/>
                <w:lang w:val="en-US"/>
              </w:rPr>
              <w:t xml:space="preserve">nternal </w:t>
            </w:r>
            <w:r>
              <w:rPr>
                <w:i/>
                <w:sz w:val="26"/>
                <w:szCs w:val="26"/>
                <w:lang w:val="en-US"/>
              </w:rPr>
              <w:t>A</w:t>
            </w:r>
            <w:r w:rsidRPr="006C5307">
              <w:rPr>
                <w:i/>
                <w:sz w:val="26"/>
                <w:szCs w:val="26"/>
                <w:lang w:val="en-US"/>
              </w:rPr>
              <w:t>uditors</w:t>
            </w:r>
            <w:r>
              <w:rPr>
                <w:i/>
                <w:sz w:val="26"/>
                <w:szCs w:val="26"/>
                <w:lang w:val="en-US"/>
              </w:rPr>
              <w:t xml:space="preserve"> (IIA) and </w:t>
            </w:r>
            <w:r w:rsidRPr="006C5307">
              <w:rPr>
                <w:i/>
                <w:sz w:val="26"/>
                <w:szCs w:val="26"/>
                <w:lang w:val="en-US"/>
              </w:rPr>
              <w:t>Internal Audit Policy</w:t>
            </w:r>
            <w:r>
              <w:rPr>
                <w:i/>
                <w:sz w:val="26"/>
                <w:szCs w:val="26"/>
                <w:lang w:val="en-US"/>
              </w:rPr>
              <w:t xml:space="preserve"> of the Company 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in accordance with the Appendix No. </w:t>
            </w:r>
            <w:r>
              <w:rPr>
                <w:i/>
                <w:sz w:val="26"/>
                <w:szCs w:val="26"/>
                <w:lang w:val="en-US"/>
              </w:rPr>
              <w:t>14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  <w:p w:rsidR="00397CE5" w:rsidRPr="006C5307" w:rsidRDefault="00397CE5" w:rsidP="006C5307">
            <w:pPr>
              <w:ind w:firstLine="743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6C5307">
              <w:rPr>
                <w:bCs/>
                <w:i/>
                <w:sz w:val="26"/>
                <w:szCs w:val="26"/>
                <w:lang w:val="en-US"/>
              </w:rPr>
              <w:t>2.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 To assign the head of </w:t>
            </w:r>
            <w:r w:rsidRPr="006C5307">
              <w:rPr>
                <w:bCs/>
                <w:i/>
                <w:sz w:val="26"/>
                <w:szCs w:val="26"/>
                <w:lang w:val="en-US"/>
              </w:rPr>
              <w:t>Internal Audit Department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 (IAD) of P</w:t>
            </w:r>
            <w:r w:rsidR="0002612C">
              <w:rPr>
                <w:bCs/>
                <w:i/>
                <w:sz w:val="26"/>
                <w:szCs w:val="26"/>
                <w:lang w:val="en-US"/>
              </w:rPr>
              <w:t>JSC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 Kubanenergo to provide the elaboration of plan of measures for development and improvement of internal audit for approval by the Board of Directors of the Company,</w:t>
            </w:r>
          </w:p>
          <w:p w:rsidR="00397CE5" w:rsidRPr="00E2267A" w:rsidRDefault="00397CE5" w:rsidP="00E2267A">
            <w:pPr>
              <w:tabs>
                <w:tab w:val="left" w:pos="1134"/>
              </w:tabs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</w:t>
            </w:r>
            <w:r w:rsidRPr="007237FC">
              <w:rPr>
                <w:i/>
                <w:sz w:val="26"/>
                <w:szCs w:val="26"/>
                <w:lang w:val="en-US"/>
              </w:rPr>
              <w:t>ime for completion of works</w:t>
            </w:r>
            <w:r w:rsidRPr="00E2267A">
              <w:rPr>
                <w:bCs/>
                <w:i/>
                <w:sz w:val="26"/>
                <w:szCs w:val="26"/>
                <w:lang w:val="en-US"/>
              </w:rPr>
              <w:t xml:space="preserve">: </w:t>
            </w:r>
            <w:r>
              <w:rPr>
                <w:bCs/>
                <w:i/>
                <w:sz w:val="26"/>
                <w:szCs w:val="26"/>
                <w:lang w:val="en-US"/>
              </w:rPr>
              <w:t>not later than</w:t>
            </w:r>
            <w:r w:rsidRPr="00E2267A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March 1, </w:t>
            </w:r>
            <w:r w:rsidRPr="00E2267A">
              <w:rPr>
                <w:bCs/>
                <w:i/>
                <w:sz w:val="26"/>
                <w:szCs w:val="26"/>
                <w:lang w:val="en-US"/>
              </w:rPr>
              <w:t>2020.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950521" w:rsidRDefault="00397CE5" w:rsidP="00950521">
            <w:pPr>
              <w:widowControl w:val="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950521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950521">
              <w:rPr>
                <w:b/>
                <w:sz w:val="26"/>
                <w:szCs w:val="26"/>
                <w:lang w:val="en-US"/>
              </w:rPr>
              <w:t xml:space="preserve">. 9 </w:t>
            </w:r>
            <w:r>
              <w:rPr>
                <w:b/>
                <w:sz w:val="26"/>
                <w:szCs w:val="26"/>
                <w:lang w:val="en-US"/>
              </w:rPr>
              <w:t xml:space="preserve">“On the </w:t>
            </w:r>
            <w:r w:rsidR="00A01A77">
              <w:rPr>
                <w:b/>
                <w:sz w:val="26"/>
                <w:szCs w:val="26"/>
                <w:lang w:val="en-US"/>
              </w:rPr>
              <w:t>approval of IAD work plan of PJSC</w:t>
            </w:r>
            <w:r>
              <w:rPr>
                <w:b/>
                <w:sz w:val="26"/>
                <w:szCs w:val="26"/>
                <w:lang w:val="en-US"/>
              </w:rPr>
              <w:t xml:space="preserve"> Kubanenergo for 2020”.  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0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2.2.9. </w:t>
            </w:r>
            <w:r w:rsidR="0002612C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950521" w:rsidRDefault="00397CE5" w:rsidP="0002612C">
            <w:pPr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To approve IAD work plan of P</w:t>
            </w:r>
            <w:r w:rsidR="0002612C">
              <w:rPr>
                <w:i/>
                <w:sz w:val="26"/>
                <w:szCs w:val="26"/>
                <w:lang w:val="en-US"/>
              </w:rPr>
              <w:t>JSC</w:t>
            </w:r>
            <w:r>
              <w:rPr>
                <w:i/>
                <w:sz w:val="26"/>
                <w:szCs w:val="26"/>
                <w:lang w:val="en-US"/>
              </w:rPr>
              <w:t xml:space="preserve"> Kubanenergo for 2020 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in accordance with the Appendix No. </w:t>
            </w:r>
            <w:r>
              <w:rPr>
                <w:i/>
                <w:sz w:val="26"/>
                <w:szCs w:val="26"/>
                <w:lang w:val="en-US"/>
              </w:rPr>
              <w:t>15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02612C" w:rsidRPr="0002612C" w:rsidRDefault="0002612C" w:rsidP="0002612C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02612C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 of insider information</w:t>
            </w:r>
          </w:p>
          <w:p w:rsidR="00397CE5" w:rsidRPr="00397CE5" w:rsidRDefault="00397CE5" w:rsidP="008F0E9D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397CE5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397CE5">
              <w:rPr>
                <w:b/>
                <w:sz w:val="26"/>
                <w:szCs w:val="26"/>
                <w:lang w:val="en-US"/>
              </w:rPr>
              <w:t xml:space="preserve">. 10 </w:t>
            </w:r>
            <w:r>
              <w:rPr>
                <w:b/>
                <w:sz w:val="26"/>
                <w:szCs w:val="26"/>
                <w:lang w:val="en-US"/>
              </w:rPr>
              <w:t>“On the approval of IAD budget of P</w:t>
            </w:r>
            <w:r w:rsidR="008F0E9D">
              <w:rPr>
                <w:b/>
                <w:sz w:val="26"/>
                <w:szCs w:val="26"/>
                <w:lang w:val="en-US"/>
              </w:rPr>
              <w:t>JSC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val="en-US"/>
              </w:rPr>
              <w:t xml:space="preserve"> Kubanenergo for 2020”.</w:t>
            </w:r>
          </w:p>
        </w:tc>
      </w:tr>
      <w:tr w:rsidR="00397CE5" w:rsidRPr="008F0E9D" w:rsidTr="00ED0877">
        <w:trPr>
          <w:trHeight w:val="848"/>
        </w:trPr>
        <w:tc>
          <w:tcPr>
            <w:tcW w:w="10348" w:type="dxa"/>
            <w:gridSpan w:val="2"/>
          </w:tcPr>
          <w:p w:rsidR="00397CE5" w:rsidRPr="0002612C" w:rsidRDefault="00397CE5" w:rsidP="005601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0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2.2.10. </w:t>
            </w:r>
            <w:r w:rsidR="0002612C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397CE5" w:rsidRPr="00397CE5" w:rsidRDefault="00397CE5" w:rsidP="0002612C">
            <w:pPr>
              <w:ind w:firstLine="709"/>
              <w:jc w:val="both"/>
              <w:rPr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>To approve IAD budget of P</w:t>
            </w:r>
            <w:r w:rsidR="0002612C">
              <w:rPr>
                <w:bCs/>
                <w:i/>
                <w:sz w:val="26"/>
                <w:szCs w:val="26"/>
                <w:lang w:val="en-US"/>
              </w:rPr>
              <w:t>JSC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 Kubanenergo for 2020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in accordance with the Appendix No. </w:t>
            </w:r>
            <w:r>
              <w:rPr>
                <w:i/>
                <w:sz w:val="26"/>
                <w:szCs w:val="26"/>
                <w:lang w:val="en-US"/>
              </w:rPr>
              <w:t>16</w:t>
            </w:r>
            <w:r w:rsidRPr="001C2BB0">
              <w:rPr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</w:tc>
      </w:tr>
      <w:tr w:rsidR="00397CE5" w:rsidRPr="008F0E9D" w:rsidTr="006C3F70">
        <w:tc>
          <w:tcPr>
            <w:tcW w:w="10348" w:type="dxa"/>
            <w:gridSpan w:val="2"/>
            <w:shd w:val="clear" w:color="auto" w:fill="auto"/>
          </w:tcPr>
          <w:p w:rsidR="00397CE5" w:rsidRPr="003E2A23" w:rsidRDefault="00397CE5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</w:t>
            </w:r>
            <w:r w:rsidR="003E2A23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3E2A2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="003E2A23"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 31,</w:t>
            </w:r>
            <w:r w:rsidRP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201</w:t>
            </w:r>
            <w:r w:rsid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397CE5" w:rsidRPr="003E2A23" w:rsidRDefault="00397CE5" w:rsidP="003E2A2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3E2A23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3E2A2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passed: </w:t>
            </w:r>
            <w:r w:rsid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</w:t>
            </w:r>
            <w:r w:rsidR="003E2A23" w:rsidRP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31, 2019</w:t>
            </w:r>
            <w:r w:rsidRP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Minutes</w:t>
            </w:r>
            <w:r w:rsidR="003E2A23" w:rsidRP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No</w:t>
            </w:r>
            <w:r w:rsidR="003E2A23" w:rsidRP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. </w:t>
            </w:r>
            <w:r w:rsidRPr="003E2A2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373/2019.</w:t>
            </w:r>
          </w:p>
        </w:tc>
      </w:tr>
      <w:tr w:rsidR="00397CE5" w:rsidRPr="006537DD" w:rsidTr="00ED0877">
        <w:tc>
          <w:tcPr>
            <w:tcW w:w="10348" w:type="dxa"/>
            <w:gridSpan w:val="2"/>
          </w:tcPr>
          <w:p w:rsidR="00397CE5" w:rsidRPr="003E2A23" w:rsidRDefault="00397CE5" w:rsidP="003E2A2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407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97CE5" w:rsidRPr="006537DD" w:rsidTr="00ED0877">
        <w:trPr>
          <w:trHeight w:val="1357"/>
        </w:trPr>
        <w:tc>
          <w:tcPr>
            <w:tcW w:w="10348" w:type="dxa"/>
            <w:gridSpan w:val="2"/>
          </w:tcPr>
          <w:p w:rsidR="00397CE5" w:rsidRPr="008F0E9D" w:rsidRDefault="00397CE5" w:rsidP="0056014D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8F0E9D">
              <w:rPr>
                <w:sz w:val="26"/>
                <w:szCs w:val="26"/>
                <w:lang w:val="en-US"/>
              </w:rPr>
              <w:t>3.1.</w:t>
            </w:r>
            <w:r w:rsidR="003E2A23" w:rsidRPr="008F0E9D">
              <w:rPr>
                <w:sz w:val="26"/>
                <w:szCs w:val="26"/>
                <w:lang w:val="en-US"/>
              </w:rPr>
              <w:t xml:space="preserve"> </w:t>
            </w:r>
            <w:r w:rsidR="003E2A23">
              <w:rPr>
                <w:rFonts w:eastAsia="Calibri"/>
                <w:sz w:val="26"/>
                <w:szCs w:val="26"/>
                <w:lang w:val="en-US"/>
              </w:rPr>
              <w:t>Deputy</w:t>
            </w:r>
            <w:r w:rsidR="003E2A23" w:rsidRPr="008F0E9D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3E2A23">
              <w:rPr>
                <w:rFonts w:eastAsia="Calibri"/>
                <w:sz w:val="26"/>
                <w:szCs w:val="26"/>
                <w:lang w:val="en-US"/>
              </w:rPr>
              <w:t>General</w:t>
            </w:r>
            <w:r w:rsidR="003E2A23" w:rsidRPr="008F0E9D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3E2A23">
              <w:rPr>
                <w:rFonts w:eastAsia="Calibri"/>
                <w:sz w:val="26"/>
                <w:szCs w:val="26"/>
                <w:lang w:val="en-US"/>
              </w:rPr>
              <w:t>Director</w:t>
            </w:r>
            <w:r w:rsidRPr="008F0E9D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397CE5" w:rsidRPr="003E2A23" w:rsidRDefault="003E2A23" w:rsidP="0056014D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for Corporate Governance             </w:t>
            </w:r>
            <w:r w:rsidR="00397CE5" w:rsidRPr="003E2A23">
              <w:rPr>
                <w:rFonts w:eastAsia="Calibri"/>
                <w:sz w:val="26"/>
                <w:szCs w:val="26"/>
                <w:lang w:val="en-US"/>
              </w:rPr>
              <w:t xml:space="preserve">                           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397CE5" w:rsidRPr="003E2A23">
              <w:rPr>
                <w:rFonts w:eastAsia="Calibri"/>
                <w:sz w:val="26"/>
                <w:szCs w:val="26"/>
                <w:lang w:val="en-US"/>
              </w:rPr>
              <w:t xml:space="preserve"> ____________________    </w:t>
            </w:r>
            <w:r>
              <w:rPr>
                <w:rFonts w:eastAsia="Calibri"/>
                <w:sz w:val="26"/>
                <w:szCs w:val="26"/>
                <w:lang w:val="en-US"/>
              </w:rPr>
              <w:t>Z</w:t>
            </w:r>
            <w:r w:rsidR="00397CE5" w:rsidRPr="003E2A23">
              <w:rPr>
                <w:rFonts w:eastAsia="Calibri"/>
                <w:sz w:val="26"/>
                <w:szCs w:val="26"/>
                <w:lang w:val="en-US"/>
              </w:rPr>
              <w:t>.</w:t>
            </w:r>
            <w:r>
              <w:rPr>
                <w:rFonts w:eastAsia="Calibri"/>
                <w:sz w:val="26"/>
                <w:szCs w:val="26"/>
                <w:lang w:val="en-US"/>
              </w:rPr>
              <w:t>I</w:t>
            </w:r>
            <w:r w:rsidR="00397CE5" w:rsidRPr="003E2A23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Khazikova</w:t>
            </w:r>
            <w:proofErr w:type="spellEnd"/>
          </w:p>
          <w:p w:rsidR="00397CE5" w:rsidRPr="003E2A23" w:rsidRDefault="00397CE5" w:rsidP="0056014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3E2A23">
              <w:rPr>
                <w:rFonts w:eastAsia="Calibri"/>
                <w:sz w:val="20"/>
                <w:szCs w:val="20"/>
                <w:lang w:val="en-US"/>
              </w:rPr>
              <w:t>(</w:t>
            </w:r>
            <w:r w:rsidR="003E2A23">
              <w:rPr>
                <w:rFonts w:eastAsia="Calibri"/>
                <w:sz w:val="20"/>
                <w:szCs w:val="20"/>
                <w:lang w:val="en-US"/>
              </w:rPr>
              <w:t>per</w:t>
            </w:r>
            <w:r w:rsidR="003E2A23" w:rsidRPr="003E2A2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3E2A23">
              <w:rPr>
                <w:rFonts w:eastAsia="Calibri"/>
                <w:sz w:val="20"/>
                <w:szCs w:val="20"/>
                <w:lang w:val="en-US"/>
              </w:rPr>
              <w:t>procuration</w:t>
            </w:r>
            <w:r w:rsidR="003E2A23" w:rsidRPr="003E2A2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E2A23">
              <w:rPr>
                <w:rFonts w:eastAsia="Calibri"/>
                <w:sz w:val="20"/>
                <w:szCs w:val="20"/>
                <w:lang w:val="en-US"/>
              </w:rPr>
              <w:t xml:space="preserve"> №23/256-</w:t>
            </w:r>
            <w:r w:rsidRPr="007A24A0">
              <w:rPr>
                <w:rFonts w:eastAsia="Calibri"/>
                <w:sz w:val="20"/>
                <w:szCs w:val="20"/>
              </w:rPr>
              <w:t>н</w:t>
            </w:r>
            <w:r w:rsidRPr="003E2A23">
              <w:rPr>
                <w:rFonts w:eastAsia="Calibri"/>
                <w:sz w:val="20"/>
                <w:szCs w:val="20"/>
                <w:lang w:val="en-US"/>
              </w:rPr>
              <w:t xml:space="preserve">/23-2019-11-656 </w:t>
            </w:r>
            <w:r w:rsidR="003E2A23">
              <w:rPr>
                <w:rFonts w:eastAsia="Calibri"/>
                <w:sz w:val="20"/>
                <w:szCs w:val="20"/>
                <w:lang w:val="en-US"/>
              </w:rPr>
              <w:t xml:space="preserve">of  December 23, 2019)                  </w:t>
            </w:r>
            <w:r w:rsidRPr="003E2A23">
              <w:rPr>
                <w:rFonts w:eastAsia="Calibri"/>
                <w:sz w:val="20"/>
                <w:szCs w:val="20"/>
                <w:lang w:val="en-US"/>
              </w:rPr>
              <w:t>(</w:t>
            </w:r>
            <w:r w:rsidR="003E2A23">
              <w:rPr>
                <w:rFonts w:eastAsia="Calibri"/>
                <w:sz w:val="20"/>
                <w:szCs w:val="20"/>
                <w:lang w:val="en-US"/>
              </w:rPr>
              <w:t>signature</w:t>
            </w:r>
            <w:r w:rsidRPr="003E2A23">
              <w:rPr>
                <w:rFonts w:eastAsia="Calibri"/>
                <w:sz w:val="20"/>
                <w:szCs w:val="20"/>
                <w:lang w:val="en-US"/>
              </w:rPr>
              <w:t xml:space="preserve">)                  </w:t>
            </w:r>
            <w:r w:rsidRPr="003E2A23"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   </w:t>
            </w:r>
            <w:r w:rsidRPr="003E2A23">
              <w:rPr>
                <w:rFonts w:eastAsia="Calibri"/>
                <w:sz w:val="20"/>
                <w:szCs w:val="20"/>
                <w:lang w:val="en-US"/>
              </w:rPr>
              <w:t xml:space="preserve">                                 </w:t>
            </w:r>
            <w:r w:rsidRPr="003E2A23"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   </w:t>
            </w:r>
          </w:p>
          <w:p w:rsidR="00397CE5" w:rsidRPr="003E2A23" w:rsidRDefault="00397CE5" w:rsidP="0056014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397CE5" w:rsidRPr="003E2A23" w:rsidRDefault="00397CE5" w:rsidP="003E2A2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4078"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4D4078">
              <w:rPr>
                <w:rFonts w:ascii="Times New Roman" w:hAnsi="Times New Roman" w:cs="Times New Roman"/>
                <w:sz w:val="26"/>
                <w:szCs w:val="26"/>
              </w:rPr>
              <w:t xml:space="preserve">  «09» </w:t>
            </w:r>
            <w:r w:rsid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January</w:t>
            </w:r>
            <w:r w:rsidRPr="004D4078">
              <w:rPr>
                <w:rFonts w:ascii="Times New Roman" w:hAnsi="Times New Roman" w:cs="Times New Roman"/>
                <w:sz w:val="26"/>
                <w:szCs w:val="26"/>
              </w:rPr>
              <w:t xml:space="preserve"> 2020</w:t>
            </w:r>
            <w:r w:rsid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4D407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3E2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 here</w:t>
            </w:r>
          </w:p>
        </w:tc>
      </w:tr>
    </w:tbl>
    <w:p w:rsidR="0045226D" w:rsidRDefault="0045226D" w:rsidP="006537DD">
      <w:pPr>
        <w:jc w:val="center"/>
        <w:rPr>
          <w:sz w:val="26"/>
          <w:szCs w:val="26"/>
          <w:lang w:val="en-US"/>
        </w:rPr>
      </w:pPr>
    </w:p>
    <w:p w:rsidR="0056014D" w:rsidRDefault="0056014D" w:rsidP="006537DD">
      <w:pPr>
        <w:jc w:val="center"/>
        <w:rPr>
          <w:sz w:val="26"/>
          <w:szCs w:val="26"/>
          <w:lang w:val="en-US"/>
        </w:rPr>
      </w:pPr>
    </w:p>
    <w:p w:rsidR="0056014D" w:rsidRDefault="0056014D" w:rsidP="006537DD">
      <w:pPr>
        <w:jc w:val="center"/>
        <w:rPr>
          <w:sz w:val="26"/>
          <w:szCs w:val="26"/>
          <w:lang w:val="en-US"/>
        </w:rPr>
      </w:pPr>
    </w:p>
    <w:p w:rsidR="0056014D" w:rsidRDefault="0056014D" w:rsidP="006537DD">
      <w:pPr>
        <w:jc w:val="center"/>
        <w:rPr>
          <w:sz w:val="26"/>
          <w:szCs w:val="26"/>
          <w:lang w:val="en-US"/>
        </w:rPr>
      </w:pPr>
    </w:p>
    <w:p w:rsidR="0056014D" w:rsidRDefault="0056014D" w:rsidP="006537DD">
      <w:pPr>
        <w:jc w:val="center"/>
        <w:rPr>
          <w:sz w:val="26"/>
          <w:szCs w:val="26"/>
          <w:lang w:val="en-US"/>
        </w:rPr>
      </w:pPr>
    </w:p>
    <w:p w:rsidR="0056014D" w:rsidRDefault="0056014D" w:rsidP="006537DD">
      <w:pPr>
        <w:jc w:val="center"/>
        <w:rPr>
          <w:sz w:val="26"/>
          <w:szCs w:val="26"/>
          <w:lang w:val="en-US"/>
        </w:rPr>
      </w:pPr>
    </w:p>
    <w:p w:rsidR="0056014D" w:rsidRDefault="0056014D" w:rsidP="006537DD">
      <w:pPr>
        <w:jc w:val="center"/>
        <w:rPr>
          <w:sz w:val="26"/>
          <w:szCs w:val="26"/>
          <w:lang w:val="en-US"/>
        </w:rPr>
      </w:pPr>
    </w:p>
    <w:p w:rsidR="0056014D" w:rsidRDefault="0056014D" w:rsidP="006537DD">
      <w:pPr>
        <w:jc w:val="center"/>
        <w:rPr>
          <w:sz w:val="26"/>
          <w:szCs w:val="26"/>
          <w:lang w:val="en-US"/>
        </w:rPr>
      </w:pPr>
    </w:p>
    <w:p w:rsidR="0056014D" w:rsidRDefault="0056014D" w:rsidP="006537DD">
      <w:pPr>
        <w:jc w:val="center"/>
        <w:rPr>
          <w:sz w:val="26"/>
          <w:szCs w:val="26"/>
          <w:lang w:val="en-US"/>
        </w:rPr>
      </w:pPr>
    </w:p>
    <w:p w:rsidR="0056014D" w:rsidRPr="0056014D" w:rsidRDefault="0056014D" w:rsidP="0056014D">
      <w:pPr>
        <w:autoSpaceDE/>
        <w:autoSpaceDN/>
        <w:jc w:val="center"/>
        <w:rPr>
          <w:rFonts w:eastAsiaTheme="minorHAnsi"/>
          <w:b/>
          <w:sz w:val="26"/>
          <w:szCs w:val="26"/>
          <w:lang w:eastAsia="en-US"/>
        </w:rPr>
      </w:pPr>
      <w:r w:rsidRPr="0056014D">
        <w:rPr>
          <w:rFonts w:eastAsiaTheme="minorHAnsi"/>
          <w:b/>
          <w:sz w:val="26"/>
          <w:szCs w:val="26"/>
          <w:lang w:eastAsia="en-US"/>
        </w:rPr>
        <w:lastRenderedPageBreak/>
        <w:t>Сообщения о существенном факте</w:t>
      </w:r>
    </w:p>
    <w:p w:rsidR="0056014D" w:rsidRPr="0056014D" w:rsidRDefault="0056014D" w:rsidP="0056014D">
      <w:pPr>
        <w:autoSpaceDE/>
        <w:autoSpaceDN/>
        <w:jc w:val="center"/>
        <w:rPr>
          <w:rFonts w:eastAsiaTheme="minorHAnsi"/>
          <w:b/>
          <w:sz w:val="26"/>
          <w:szCs w:val="26"/>
          <w:lang w:eastAsia="en-US"/>
        </w:rPr>
      </w:pPr>
      <w:r w:rsidRPr="0056014D">
        <w:rPr>
          <w:rFonts w:eastAsiaTheme="minorHAnsi"/>
          <w:b/>
          <w:sz w:val="26"/>
          <w:szCs w:val="26"/>
          <w:lang w:eastAsia="en-US"/>
        </w:rPr>
        <w:t>«О решениях, принятых советом директоров эмитента»</w:t>
      </w:r>
    </w:p>
    <w:p w:rsidR="0056014D" w:rsidRPr="0056014D" w:rsidRDefault="0056014D" w:rsidP="0056014D">
      <w:pPr>
        <w:autoSpaceDE/>
        <w:autoSpaceDN/>
        <w:jc w:val="center"/>
        <w:rPr>
          <w:rFonts w:eastAsiaTheme="minorHAnsi"/>
          <w:b/>
          <w:sz w:val="26"/>
          <w:szCs w:val="26"/>
          <w:lang w:eastAsia="en-US"/>
        </w:rPr>
      </w:pPr>
      <w:r w:rsidRPr="0056014D">
        <w:rPr>
          <w:rFonts w:eastAsiaTheme="minorHAnsi"/>
          <w:b/>
          <w:sz w:val="26"/>
          <w:szCs w:val="26"/>
          <w:lang w:eastAsia="en-US"/>
        </w:rPr>
        <w:t>(раскрытие инсайдерской информации)</w:t>
      </w:r>
    </w:p>
    <w:tbl>
      <w:tblPr>
        <w:tblStyle w:val="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56014D" w:rsidRPr="0056014D" w:rsidTr="0056014D">
        <w:tc>
          <w:tcPr>
            <w:tcW w:w="10348" w:type="dxa"/>
            <w:gridSpan w:val="2"/>
          </w:tcPr>
          <w:p w:rsidR="0056014D" w:rsidRPr="0056014D" w:rsidRDefault="0056014D" w:rsidP="0056014D">
            <w:pPr>
              <w:numPr>
                <w:ilvl w:val="0"/>
                <w:numId w:val="11"/>
              </w:numPr>
              <w:autoSpaceDE/>
              <w:autoSpaceDN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Общие сведения</w:t>
            </w:r>
          </w:p>
        </w:tc>
      </w:tr>
      <w:tr w:rsidR="0056014D" w:rsidRPr="0056014D" w:rsidTr="0056014D">
        <w:trPr>
          <w:trHeight w:val="599"/>
        </w:trPr>
        <w:tc>
          <w:tcPr>
            <w:tcW w:w="4253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1.1  Полное фирменное наименование эмитента</w:t>
            </w:r>
          </w:p>
        </w:tc>
        <w:tc>
          <w:tcPr>
            <w:tcW w:w="6095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Публичное акционерное общество энергетики и электрификации Кубани</w:t>
            </w:r>
          </w:p>
        </w:tc>
      </w:tr>
      <w:tr w:rsidR="0056014D" w:rsidRPr="0056014D" w:rsidTr="0056014D">
        <w:tc>
          <w:tcPr>
            <w:tcW w:w="4253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1.2. Сокращенное фирменное название эмитента</w:t>
            </w:r>
          </w:p>
        </w:tc>
        <w:tc>
          <w:tcPr>
            <w:tcW w:w="6095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ПАО «Кубаньэнерго»</w:t>
            </w:r>
          </w:p>
        </w:tc>
      </w:tr>
      <w:tr w:rsidR="0056014D" w:rsidRPr="0056014D" w:rsidTr="0056014D">
        <w:trPr>
          <w:trHeight w:val="412"/>
        </w:trPr>
        <w:tc>
          <w:tcPr>
            <w:tcW w:w="4253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1.3. Место нахождения эмитента</w:t>
            </w:r>
          </w:p>
        </w:tc>
        <w:tc>
          <w:tcPr>
            <w:tcW w:w="6095" w:type="dxa"/>
          </w:tcPr>
          <w:p w:rsidR="0056014D" w:rsidRPr="0056014D" w:rsidRDefault="0056014D" w:rsidP="0056014D">
            <w:pPr>
              <w:rPr>
                <w:sz w:val="26"/>
                <w:szCs w:val="26"/>
              </w:rPr>
            </w:pPr>
            <w:r w:rsidRPr="0056014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56014D" w:rsidRPr="0056014D" w:rsidTr="0056014D">
        <w:tc>
          <w:tcPr>
            <w:tcW w:w="4253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1.4. ОГРН эмитента</w:t>
            </w:r>
          </w:p>
        </w:tc>
        <w:tc>
          <w:tcPr>
            <w:tcW w:w="6095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1022301427268</w:t>
            </w:r>
          </w:p>
        </w:tc>
      </w:tr>
      <w:tr w:rsidR="0056014D" w:rsidRPr="0056014D" w:rsidTr="0056014D">
        <w:tc>
          <w:tcPr>
            <w:tcW w:w="4253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1.5. ИНН эмитента</w:t>
            </w:r>
          </w:p>
        </w:tc>
        <w:tc>
          <w:tcPr>
            <w:tcW w:w="6095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2309001660</w:t>
            </w:r>
          </w:p>
        </w:tc>
      </w:tr>
      <w:tr w:rsidR="0056014D" w:rsidRPr="0056014D" w:rsidTr="0056014D">
        <w:tc>
          <w:tcPr>
            <w:tcW w:w="4253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5" w:type="dxa"/>
          </w:tcPr>
          <w:p w:rsidR="0056014D" w:rsidRPr="0056014D" w:rsidRDefault="0056014D" w:rsidP="0056014D">
            <w:pPr>
              <w:tabs>
                <w:tab w:val="left" w:pos="1930"/>
              </w:tabs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00063-А</w:t>
            </w:r>
          </w:p>
        </w:tc>
      </w:tr>
      <w:tr w:rsidR="0056014D" w:rsidRPr="0056014D" w:rsidTr="0056014D">
        <w:tc>
          <w:tcPr>
            <w:tcW w:w="4253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</w:tcPr>
          <w:p w:rsidR="0056014D" w:rsidRPr="0056014D" w:rsidRDefault="0056014D" w:rsidP="0056014D">
            <w:pPr>
              <w:rPr>
                <w:sz w:val="26"/>
                <w:szCs w:val="26"/>
              </w:rPr>
            </w:pPr>
            <w:r w:rsidRPr="0056014D">
              <w:rPr>
                <w:sz w:val="26"/>
                <w:szCs w:val="26"/>
                <w:lang w:val="en-US"/>
              </w:rPr>
              <w:t>http</w:t>
            </w:r>
            <w:r w:rsidRPr="0056014D">
              <w:rPr>
                <w:sz w:val="26"/>
                <w:szCs w:val="26"/>
              </w:rPr>
              <w:t>://</w:t>
            </w:r>
            <w:hyperlink r:id="rId11" w:history="1">
              <w:r w:rsidRPr="0056014D">
                <w:rPr>
                  <w:sz w:val="26"/>
                  <w:szCs w:val="26"/>
                  <w:lang w:val="en-US"/>
                </w:rPr>
                <w:t>www</w:t>
              </w:r>
              <w:r w:rsidRPr="0056014D">
                <w:rPr>
                  <w:sz w:val="26"/>
                  <w:szCs w:val="26"/>
                </w:rPr>
                <w:t>.</w:t>
              </w:r>
              <w:proofErr w:type="spellStart"/>
              <w:r w:rsidRPr="0056014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56014D">
                <w:rPr>
                  <w:sz w:val="26"/>
                  <w:szCs w:val="26"/>
                </w:rPr>
                <w:t>.</w:t>
              </w:r>
              <w:proofErr w:type="spellStart"/>
              <w:r w:rsidRPr="0056014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014D">
              <w:rPr>
                <w:sz w:val="26"/>
                <w:szCs w:val="26"/>
              </w:rPr>
              <w:t xml:space="preserve">  </w:t>
            </w:r>
          </w:p>
          <w:p w:rsidR="0056014D" w:rsidRPr="0056014D" w:rsidRDefault="00546428" w:rsidP="0056014D">
            <w:pPr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  <w:hyperlink r:id="rId12" w:history="1">
              <w:r w:rsidR="0056014D" w:rsidRPr="0056014D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http://www.e-disclosure.ru/portal/company.aspx?id=2827</w:t>
              </w:r>
            </w:hyperlink>
            <w:r w:rsidR="0056014D" w:rsidRPr="0056014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6014D" w:rsidRPr="0056014D" w:rsidTr="0056014D">
        <w:tc>
          <w:tcPr>
            <w:tcW w:w="4253" w:type="dxa"/>
          </w:tcPr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5" w:type="dxa"/>
          </w:tcPr>
          <w:p w:rsidR="0056014D" w:rsidRPr="0056014D" w:rsidRDefault="0056014D" w:rsidP="0056014D">
            <w:pPr>
              <w:rPr>
                <w:sz w:val="26"/>
                <w:szCs w:val="26"/>
              </w:rPr>
            </w:pPr>
            <w:r w:rsidRPr="0056014D">
              <w:rPr>
                <w:sz w:val="26"/>
                <w:szCs w:val="26"/>
              </w:rPr>
              <w:t>31.12.2019</w:t>
            </w:r>
          </w:p>
        </w:tc>
      </w:tr>
      <w:tr w:rsidR="0056014D" w:rsidRPr="0056014D" w:rsidTr="0056014D">
        <w:tc>
          <w:tcPr>
            <w:tcW w:w="10348" w:type="dxa"/>
            <w:gridSpan w:val="2"/>
          </w:tcPr>
          <w:p w:rsidR="0056014D" w:rsidRPr="0056014D" w:rsidRDefault="0056014D" w:rsidP="0056014D">
            <w:pPr>
              <w:jc w:val="center"/>
              <w:rPr>
                <w:sz w:val="26"/>
                <w:szCs w:val="26"/>
              </w:rPr>
            </w:pPr>
            <w:r w:rsidRPr="0056014D">
              <w:rPr>
                <w:sz w:val="26"/>
                <w:szCs w:val="26"/>
              </w:rPr>
              <w:t>2. Содержание сообщения</w:t>
            </w:r>
          </w:p>
        </w:tc>
      </w:tr>
      <w:tr w:rsidR="0056014D" w:rsidRPr="0056014D" w:rsidTr="0056014D">
        <w:trPr>
          <w:trHeight w:val="2833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Количественный состав членов Совета директоров: 11 человек.</w:t>
            </w:r>
          </w:p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 xml:space="preserve">В заседании приняли участие: 11 человек. </w:t>
            </w:r>
          </w:p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Кворум для проведения заседания Совета директоров ПАО «Кубаньэнерго» имеется.</w:t>
            </w:r>
          </w:p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Результаты голосования:</w:t>
            </w:r>
          </w:p>
          <w:tbl>
            <w:tblPr>
              <w:tblStyle w:val="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Количество голосов</w:t>
                  </w: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  <w:vMerge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«ВОЗДЕРЖАЛСЯ»</w:t>
                  </w: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jc w:val="center"/>
                  </w:pPr>
                  <w:r w:rsidRPr="0056014D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jc w:val="center"/>
                  </w:pPr>
                  <w:r w:rsidRPr="0056014D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7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jc w:val="center"/>
                  </w:pPr>
                  <w:r w:rsidRPr="0056014D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8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jc w:val="center"/>
                  </w:pPr>
                  <w:r w:rsidRPr="0056014D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9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jc w:val="center"/>
                  </w:pPr>
                  <w:r w:rsidRPr="0056014D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56014D" w:rsidRPr="0056014D" w:rsidTr="0056014D">
              <w:trPr>
                <w:jc w:val="center"/>
              </w:trPr>
              <w:tc>
                <w:tcPr>
                  <w:tcW w:w="1339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56014D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10</w:t>
                  </w:r>
                </w:p>
              </w:tc>
              <w:tc>
                <w:tcPr>
                  <w:tcW w:w="1633" w:type="dxa"/>
                </w:tcPr>
                <w:p w:rsidR="0056014D" w:rsidRPr="0056014D" w:rsidRDefault="0056014D" w:rsidP="0056014D">
                  <w:pPr>
                    <w:jc w:val="center"/>
                  </w:pPr>
                  <w:r w:rsidRPr="0056014D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56014D" w:rsidRPr="0056014D" w:rsidRDefault="0056014D" w:rsidP="0056014D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6014D" w:rsidRPr="0056014D" w:rsidTr="0056014D"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>По вопросу №1 «О рассмотрении отчёта об итогах выполнения бизнес-плана                                    ПАО «Кубаньэнерго» за 9 месяцев 2019 года</w:t>
            </w:r>
            <w:r w:rsidRPr="0056014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2.2.1.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tabs>
                <w:tab w:val="left" w:pos="1134"/>
              </w:tabs>
              <w:ind w:firstLine="709"/>
              <w:jc w:val="both"/>
              <w:rPr>
                <w:bCs/>
                <w:i/>
                <w:sz w:val="26"/>
                <w:szCs w:val="26"/>
              </w:rPr>
            </w:pPr>
            <w:r w:rsidRPr="0056014D">
              <w:rPr>
                <w:bCs/>
                <w:i/>
                <w:sz w:val="26"/>
                <w:szCs w:val="26"/>
              </w:rPr>
              <w:t xml:space="preserve">1.Принять к сведению отчет об исполнении бизнес-плана </w:t>
            </w:r>
            <w:r w:rsidRPr="0056014D">
              <w:rPr>
                <w:bCs/>
                <w:i/>
                <w:sz w:val="26"/>
                <w:szCs w:val="26"/>
              </w:rPr>
              <w:br/>
              <w:t xml:space="preserve">ПАО «Кубаньэнерго» за 9 месяцев 2019 года в соответствии с приложением </w:t>
            </w:r>
            <w:r w:rsidRPr="0056014D">
              <w:rPr>
                <w:bCs/>
                <w:i/>
                <w:sz w:val="26"/>
                <w:szCs w:val="26"/>
              </w:rPr>
              <w:br/>
              <w:t>№ 1 к настоящему решению Совета директоров Общества.</w:t>
            </w:r>
          </w:p>
          <w:p w:rsidR="0056014D" w:rsidRPr="0056014D" w:rsidRDefault="0056014D" w:rsidP="0056014D">
            <w:pPr>
              <w:tabs>
                <w:tab w:val="left" w:pos="1134"/>
              </w:tabs>
              <w:ind w:firstLine="709"/>
              <w:jc w:val="both"/>
              <w:rPr>
                <w:i/>
                <w:sz w:val="26"/>
                <w:szCs w:val="26"/>
                <w:highlight w:val="lightGray"/>
              </w:rPr>
            </w:pPr>
            <w:r w:rsidRPr="0056014D">
              <w:rPr>
                <w:bCs/>
                <w:i/>
                <w:sz w:val="26"/>
                <w:szCs w:val="26"/>
              </w:rPr>
              <w:t>2.Отметить по итогам работы Общества за 9 месяцев 2019 года отклонение фактических показателей бизнес-плана от плановых в соответствии с приложением № 2 к настоящему решению Совета директоров Общества.</w:t>
            </w:r>
          </w:p>
        </w:tc>
      </w:tr>
      <w:tr w:rsidR="0056014D" w:rsidRPr="0056014D" w:rsidTr="0056014D"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lastRenderedPageBreak/>
              <w:t>По вопросу №2 «</w:t>
            </w:r>
            <w:r w:rsidRPr="0056014D">
              <w:rPr>
                <w:b/>
                <w:bCs/>
                <w:iCs/>
                <w:sz w:val="26"/>
                <w:szCs w:val="26"/>
              </w:rPr>
              <w:t>Об одобрении отчета об итогах выполнения инвестиционной программы  ПАО «Кубаньэнерго» за 3 квартал и 9 месяцев 2019 года»</w:t>
            </w:r>
            <w:r w:rsidRPr="0056014D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2.2.2.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widowControl w:val="0"/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>Принять к сведению отчет об итогах выполнения инвестиционной программы                  ПАО «Кубаньэнерго» за 3 квартал и 9 месяцев 2019 года в соответствии с приложением                № 3 к настоящему решению Совета директоров Общества.</w:t>
            </w:r>
          </w:p>
        </w:tc>
      </w:tr>
      <w:tr w:rsidR="0056014D" w:rsidRPr="0056014D" w:rsidTr="0056014D"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>По вопросу №3 «О рассмотрении отчета о ходе реализации инвестиционных проектов Общества, включенных в перечень приоритетных объектов ПАО «Кубаньэнерго», за 3 квартал 2019 года»</w:t>
            </w:r>
            <w:r w:rsidRPr="0056014D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2.2.3.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>1.</w:t>
            </w:r>
            <w:r w:rsidRPr="0056014D">
              <w:rPr>
                <w:i/>
                <w:sz w:val="26"/>
                <w:szCs w:val="26"/>
              </w:rPr>
              <w:tab/>
              <w:t>Принять к сведению отчет о ходе реализации инвестиционных проектов Общества, включенных в перечень приоритетных объектов ПАО «Кубаньэнерго», за 3 квартал 2019 года согласно приложению № 4 к настоящему решению Совета директоров Общества.</w:t>
            </w:r>
          </w:p>
          <w:p w:rsidR="0056014D" w:rsidRPr="0056014D" w:rsidRDefault="0056014D" w:rsidP="0056014D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>2.</w:t>
            </w:r>
            <w:r w:rsidRPr="0056014D">
              <w:rPr>
                <w:i/>
                <w:sz w:val="26"/>
                <w:szCs w:val="26"/>
              </w:rPr>
              <w:tab/>
              <w:t>Единоличному исполнительному органу ПАО «Кубаньэнерго» обеспечить:</w:t>
            </w:r>
          </w:p>
          <w:p w:rsidR="0056014D" w:rsidRPr="0056014D" w:rsidRDefault="0056014D" w:rsidP="0056014D">
            <w:pPr>
              <w:widowControl w:val="0"/>
              <w:tabs>
                <w:tab w:val="left" w:pos="1134"/>
                <w:tab w:val="left" w:pos="1276"/>
              </w:tabs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>2.1.</w:t>
            </w:r>
            <w:r w:rsidRPr="0056014D">
              <w:rPr>
                <w:i/>
                <w:sz w:val="26"/>
                <w:szCs w:val="26"/>
              </w:rPr>
              <w:tab/>
            </w:r>
            <w:r w:rsidRPr="0056014D">
              <w:rPr>
                <w:i/>
                <w:sz w:val="26"/>
                <w:szCs w:val="26"/>
              </w:rPr>
              <w:tab/>
              <w:t>завершение работ и приемку в эксплуатацию вводных приоритетных объектов текущего года.</w:t>
            </w:r>
          </w:p>
          <w:p w:rsidR="0056014D" w:rsidRPr="0056014D" w:rsidRDefault="0056014D" w:rsidP="0056014D">
            <w:pPr>
              <w:widowControl w:val="0"/>
              <w:tabs>
                <w:tab w:val="left" w:pos="1134"/>
                <w:tab w:val="left" w:pos="1276"/>
              </w:tabs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>Срок – 31.12.2019.</w:t>
            </w:r>
          </w:p>
          <w:p w:rsidR="0056014D" w:rsidRPr="0056014D" w:rsidRDefault="0056014D" w:rsidP="0056014D">
            <w:pPr>
              <w:widowControl w:val="0"/>
              <w:tabs>
                <w:tab w:val="left" w:pos="1134"/>
                <w:tab w:val="left" w:pos="1276"/>
              </w:tabs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>2.2.</w:t>
            </w:r>
            <w:r w:rsidRPr="0056014D">
              <w:rPr>
                <w:i/>
                <w:sz w:val="26"/>
                <w:szCs w:val="26"/>
              </w:rPr>
              <w:tab/>
            </w:r>
            <w:r w:rsidRPr="0056014D">
              <w:rPr>
                <w:i/>
                <w:sz w:val="26"/>
                <w:szCs w:val="26"/>
              </w:rPr>
              <w:tab/>
              <w:t>соблюдение положений организационно-распорядительных документов, регламентирующих порядок приемки в эксплуатацию законченных строительством объектов.</w:t>
            </w:r>
          </w:p>
        </w:tc>
      </w:tr>
      <w:tr w:rsidR="0056014D" w:rsidRPr="0056014D" w:rsidTr="0056014D"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>По вопросу №4 «</w:t>
            </w:r>
            <w:r w:rsidRPr="0056014D">
              <w:rPr>
                <w:b/>
                <w:bCs/>
                <w:color w:val="000000"/>
                <w:sz w:val="26"/>
                <w:szCs w:val="26"/>
              </w:rPr>
              <w:t xml:space="preserve">О рассмотрении мероприятий по поддержанию эффективной системы управления рисками </w:t>
            </w:r>
            <w:r w:rsidRPr="0056014D">
              <w:rPr>
                <w:b/>
                <w:sz w:val="26"/>
                <w:szCs w:val="26"/>
              </w:rPr>
              <w:t>ПАО «Кубаньэнерго»</w:t>
            </w:r>
            <w:r w:rsidRPr="0056014D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2.2.4.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tabs>
                <w:tab w:val="left" w:pos="1134"/>
              </w:tabs>
              <w:ind w:firstLine="709"/>
              <w:contextualSpacing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>1.</w:t>
            </w:r>
            <w:r w:rsidRPr="0056014D">
              <w:rPr>
                <w:i/>
                <w:sz w:val="26"/>
                <w:szCs w:val="26"/>
              </w:rPr>
              <w:tab/>
              <w:t>Принять к сведению результаты внешней независимой оценки системы управления рисками ПАО «Кубаньэнерго».</w:t>
            </w:r>
          </w:p>
          <w:p w:rsidR="0056014D" w:rsidRPr="0056014D" w:rsidRDefault="0056014D" w:rsidP="0056014D">
            <w:pPr>
              <w:tabs>
                <w:tab w:val="left" w:pos="1134"/>
              </w:tabs>
              <w:ind w:firstLine="709"/>
              <w:contextualSpacing/>
              <w:jc w:val="both"/>
              <w:rPr>
                <w:i/>
                <w:sz w:val="26"/>
                <w:szCs w:val="26"/>
              </w:rPr>
            </w:pPr>
            <w:r w:rsidRPr="0056014D">
              <w:rPr>
                <w:rFonts w:eastAsia="Calibri"/>
                <w:i/>
                <w:sz w:val="26"/>
                <w:szCs w:val="26"/>
              </w:rPr>
              <w:t>2.</w:t>
            </w:r>
            <w:r w:rsidRPr="0056014D">
              <w:rPr>
                <w:rFonts w:eastAsia="Calibri"/>
                <w:i/>
                <w:sz w:val="26"/>
                <w:szCs w:val="26"/>
              </w:rPr>
              <w:tab/>
              <w:t>Утвердить План по развитию и совершенствованию системы управления рисками ПАО «Кубаньэнерго» согласно приложению № 5 к настоящему решению Совета директоров Общества.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>По вопросу №5 «</w:t>
            </w:r>
            <w:r w:rsidRPr="0056014D">
              <w:rPr>
                <w:b/>
                <w:bCs/>
                <w:iCs/>
                <w:sz w:val="26"/>
                <w:szCs w:val="26"/>
              </w:rPr>
              <w:t>Об утверждении бюджетов комитетов Совета директоров                                         ПАО «Кубаньэнерго» на 2 полугодие 2019 года</w:t>
            </w:r>
            <w:r w:rsidRPr="0056014D">
              <w:rPr>
                <w:b/>
                <w:sz w:val="26"/>
                <w:szCs w:val="26"/>
              </w:rPr>
              <w:t>»</w:t>
            </w:r>
            <w:r w:rsidRPr="0056014D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2.2.5.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widowControl w:val="0"/>
              <w:ind w:firstLine="709"/>
              <w:jc w:val="both"/>
              <w:rPr>
                <w:i/>
                <w:sz w:val="26"/>
                <w:szCs w:val="26"/>
                <w:highlight w:val="lightGray"/>
              </w:rPr>
            </w:pPr>
            <w:r w:rsidRPr="0056014D">
              <w:rPr>
                <w:i/>
                <w:sz w:val="26"/>
                <w:szCs w:val="26"/>
              </w:rPr>
              <w:t xml:space="preserve">Утвердить бюджеты </w:t>
            </w:r>
            <w:r w:rsidRPr="0056014D">
              <w:rPr>
                <w:bCs/>
                <w:i/>
                <w:iCs/>
                <w:sz w:val="26"/>
                <w:szCs w:val="26"/>
              </w:rPr>
              <w:t>комитетов Совета директоров</w:t>
            </w:r>
            <w:r w:rsidRPr="0056014D">
              <w:rPr>
                <w:i/>
                <w:sz w:val="26"/>
                <w:szCs w:val="26"/>
              </w:rPr>
              <w:t xml:space="preserve"> ПАО «Кубаньэнерго» на 2 полугодие 2019 года согласно приложениям № 6 - 10 к настоящему решению Совета директоров Общества.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>По вопросу №6 «</w:t>
            </w:r>
            <w:r w:rsidRPr="0056014D">
              <w:rPr>
                <w:rFonts w:eastAsia="Calibri"/>
                <w:b/>
                <w:sz w:val="26"/>
                <w:szCs w:val="26"/>
              </w:rPr>
              <w:t>О рассмотрении отчета генерального директора ПАО «Кубаньэнерго» о результатах готовности Общества к работе в осенне-зимний период 2019-2020 годов</w:t>
            </w:r>
            <w:r w:rsidRPr="0056014D">
              <w:rPr>
                <w:b/>
                <w:sz w:val="26"/>
                <w:szCs w:val="26"/>
              </w:rPr>
              <w:t>»</w:t>
            </w:r>
            <w:r w:rsidRPr="0056014D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2.2.6.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tabs>
                <w:tab w:val="left" w:pos="1134"/>
              </w:tabs>
              <w:ind w:firstLine="709"/>
              <w:jc w:val="both"/>
              <w:rPr>
                <w:i/>
                <w:sz w:val="26"/>
                <w:szCs w:val="26"/>
                <w:highlight w:val="lightGray"/>
              </w:rPr>
            </w:pPr>
            <w:r w:rsidRPr="0056014D">
              <w:rPr>
                <w:rFonts w:eastAsia="Calibri"/>
                <w:i/>
                <w:sz w:val="26"/>
                <w:szCs w:val="26"/>
              </w:rPr>
              <w:t>Принять к сведению отчет генерального директора ПАО «Кубаньэнерго» о результатах готовности Общества к работе в осенне-зимний период 2019-2020 годов согласно приложению № 11 к решению Совета директоров Общества.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>По вопросу №7 «</w:t>
            </w:r>
            <w:r w:rsidRPr="0056014D">
              <w:rPr>
                <w:b/>
                <w:bCs/>
                <w:iCs/>
                <w:sz w:val="26"/>
                <w:szCs w:val="26"/>
              </w:rPr>
              <w:t>Об утверждении целевых значений функциональных КПЭ начальника и других ведущих менеджеров департамента внутреннего аудита Общества на 2020 год</w:t>
            </w:r>
            <w:r w:rsidRPr="0056014D">
              <w:rPr>
                <w:b/>
                <w:sz w:val="26"/>
                <w:szCs w:val="26"/>
              </w:rPr>
              <w:t>».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2.2.7.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widowControl w:val="0"/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 xml:space="preserve">1.Одобрить Методику расчета и оценки выполнения функциональных ключевых показателей эффективности руководителя и работников подразделения внутреннего </w:t>
            </w:r>
            <w:r w:rsidRPr="0056014D">
              <w:rPr>
                <w:i/>
                <w:sz w:val="26"/>
                <w:szCs w:val="26"/>
              </w:rPr>
              <w:lastRenderedPageBreak/>
              <w:t xml:space="preserve">аудита ПАО «Кубаньэнерго» согласно приложению № 12 к настоящему решению </w:t>
            </w:r>
            <w:r w:rsidRPr="0056014D">
              <w:rPr>
                <w:rFonts w:eastAsia="Calibri"/>
                <w:i/>
                <w:sz w:val="26"/>
                <w:szCs w:val="26"/>
              </w:rPr>
              <w:t>Совета директоров Общества</w:t>
            </w:r>
            <w:r w:rsidRPr="0056014D">
              <w:rPr>
                <w:i/>
                <w:sz w:val="26"/>
                <w:szCs w:val="26"/>
              </w:rPr>
              <w:t>.</w:t>
            </w:r>
          </w:p>
          <w:p w:rsidR="0056014D" w:rsidRPr="0056014D" w:rsidRDefault="0056014D" w:rsidP="0056014D">
            <w:pPr>
              <w:widowControl w:val="0"/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 xml:space="preserve">2.Определить целевые значения функциональных ключевых показателей эффективности руководителя и работников подразделения внутреннего аудита                     ПАО «Кубаньэнерго» на 2020 год согласно приложению № 13 к настоящему решению </w:t>
            </w:r>
            <w:r w:rsidRPr="0056014D">
              <w:rPr>
                <w:rFonts w:eastAsia="Calibri"/>
                <w:i/>
                <w:sz w:val="26"/>
                <w:szCs w:val="26"/>
              </w:rPr>
              <w:t>Совета директоров Общества</w:t>
            </w:r>
            <w:r w:rsidRPr="0056014D">
              <w:rPr>
                <w:i/>
                <w:sz w:val="26"/>
                <w:szCs w:val="26"/>
              </w:rPr>
              <w:t>.</w:t>
            </w:r>
          </w:p>
          <w:p w:rsidR="0056014D" w:rsidRPr="0056014D" w:rsidRDefault="0056014D" w:rsidP="0056014D">
            <w:pPr>
              <w:widowControl w:val="0"/>
              <w:ind w:firstLine="709"/>
              <w:jc w:val="both"/>
              <w:rPr>
                <w:b/>
                <w:i/>
                <w:sz w:val="26"/>
                <w:szCs w:val="26"/>
                <w:highlight w:val="lightGray"/>
              </w:rPr>
            </w:pPr>
            <w:proofErr w:type="gramStart"/>
            <w:r w:rsidRPr="0056014D">
              <w:rPr>
                <w:i/>
                <w:sz w:val="26"/>
                <w:szCs w:val="26"/>
              </w:rPr>
              <w:t>3.Поручить генеральному директору Общества утвердить указанные в пунктах 1 и 2 настоящего решения Методику расчета и оценки выполнения функциональных ключевых показателей эффективности руководителя и работников подразделения внутреннего аудита ПАО «Кубаньэнерго», целевые значения функциональных ключевых показателей эффективности руководителя и работников подразделения внутреннего аудита Общества на 2020 год в установленном в ПАО «Кубаньэнерго» порядке.</w:t>
            </w:r>
            <w:proofErr w:type="gramEnd"/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lastRenderedPageBreak/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 xml:space="preserve">По вопросу №8 «О рассмотрении </w:t>
            </w:r>
            <w:proofErr w:type="gramStart"/>
            <w:r w:rsidRPr="0056014D">
              <w:rPr>
                <w:b/>
                <w:sz w:val="26"/>
                <w:szCs w:val="26"/>
              </w:rPr>
              <w:t>результатов внешней независимой оценки качества деятельности внутреннего аудита Общества</w:t>
            </w:r>
            <w:proofErr w:type="gramEnd"/>
            <w:r w:rsidRPr="0056014D">
              <w:rPr>
                <w:b/>
                <w:sz w:val="26"/>
                <w:szCs w:val="26"/>
              </w:rPr>
              <w:t>».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2.2.8.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ind w:firstLine="709"/>
              <w:jc w:val="both"/>
              <w:rPr>
                <w:bCs/>
                <w:i/>
                <w:sz w:val="26"/>
                <w:szCs w:val="26"/>
              </w:rPr>
            </w:pPr>
            <w:r w:rsidRPr="0056014D">
              <w:rPr>
                <w:bCs/>
                <w:i/>
                <w:sz w:val="26"/>
                <w:szCs w:val="26"/>
              </w:rPr>
              <w:t xml:space="preserve">1.Принять к сведению отчет независимого эксперта АО «КПМГ» и оценку организации и деятельности внутреннего аудита ПАО «Кубаньэнерго» в целом соответствующей Международным профессиональным стандартам внутреннего аудита, Кодексу этики, разработанным Институтом внутренних аудиторов, Политике внутреннего аудита Общества </w:t>
            </w:r>
            <w:r w:rsidRPr="0056014D">
              <w:rPr>
                <w:i/>
                <w:sz w:val="26"/>
                <w:szCs w:val="26"/>
              </w:rPr>
              <w:t xml:space="preserve">согласно приложению № 14 к настоящему решению </w:t>
            </w:r>
            <w:r w:rsidRPr="0056014D">
              <w:rPr>
                <w:rFonts w:eastAsia="Calibri"/>
                <w:i/>
                <w:sz w:val="26"/>
                <w:szCs w:val="26"/>
              </w:rPr>
              <w:t>Совета директоров Общества</w:t>
            </w:r>
            <w:r w:rsidRPr="0056014D">
              <w:rPr>
                <w:bCs/>
                <w:i/>
                <w:sz w:val="26"/>
                <w:szCs w:val="26"/>
              </w:rPr>
              <w:t>.</w:t>
            </w:r>
          </w:p>
          <w:p w:rsidR="0056014D" w:rsidRPr="0056014D" w:rsidRDefault="0056014D" w:rsidP="0056014D">
            <w:pPr>
              <w:ind w:firstLine="709"/>
              <w:jc w:val="both"/>
              <w:rPr>
                <w:bCs/>
                <w:i/>
                <w:sz w:val="26"/>
                <w:szCs w:val="26"/>
              </w:rPr>
            </w:pPr>
            <w:r w:rsidRPr="0056014D">
              <w:rPr>
                <w:bCs/>
                <w:i/>
                <w:sz w:val="26"/>
                <w:szCs w:val="26"/>
              </w:rPr>
              <w:t xml:space="preserve">2.Поручить начальнику Департамента внутреннего аудита </w:t>
            </w:r>
            <w:r w:rsidRPr="0056014D">
              <w:rPr>
                <w:bCs/>
                <w:i/>
                <w:sz w:val="26"/>
                <w:szCs w:val="26"/>
              </w:rPr>
              <w:br/>
              <w:t>ПАО «Кубаньэнерго» обеспечить разработку и вынесение на утверждение Советом директоров Общества плана мероприятий по развитию и совершенствованию деятельности внутреннего аудита.</w:t>
            </w:r>
          </w:p>
          <w:p w:rsidR="0056014D" w:rsidRPr="0056014D" w:rsidRDefault="0056014D" w:rsidP="0056014D">
            <w:pPr>
              <w:tabs>
                <w:tab w:val="left" w:pos="1134"/>
              </w:tabs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bCs/>
                <w:i/>
                <w:sz w:val="26"/>
                <w:szCs w:val="26"/>
              </w:rPr>
              <w:t>Срок: не позднее 01.03.2020.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>По вопросу №9 «</w:t>
            </w:r>
            <w:r w:rsidRPr="0056014D">
              <w:rPr>
                <w:b/>
                <w:bCs/>
                <w:iCs/>
                <w:sz w:val="26"/>
                <w:szCs w:val="26"/>
              </w:rPr>
              <w:t>Об утверждении плана работы Департамента внутреннего аудита                                       ПАО «Кубаньэнерго» на 2020 год</w:t>
            </w:r>
            <w:r w:rsidRPr="0056014D">
              <w:rPr>
                <w:b/>
                <w:color w:val="000000"/>
                <w:sz w:val="26"/>
                <w:szCs w:val="26"/>
              </w:rPr>
              <w:t>».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2.2.9.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widowControl w:val="0"/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i/>
                <w:sz w:val="26"/>
                <w:szCs w:val="26"/>
              </w:rPr>
              <w:t xml:space="preserve">Утвердить план работы департамента внутреннего аудита </w:t>
            </w:r>
            <w:r w:rsidRPr="0056014D">
              <w:rPr>
                <w:i/>
                <w:sz w:val="26"/>
                <w:szCs w:val="26"/>
              </w:rPr>
              <w:br/>
              <w:t xml:space="preserve">ПАО «Кубаньэнерго» на 2020 год согласно приложению 15 к </w:t>
            </w:r>
            <w:r w:rsidRPr="0056014D">
              <w:rPr>
                <w:bCs/>
                <w:i/>
                <w:sz w:val="26"/>
                <w:szCs w:val="26"/>
              </w:rPr>
              <w:t>настоящему</w:t>
            </w:r>
            <w:r w:rsidRPr="0056014D">
              <w:rPr>
                <w:i/>
                <w:sz w:val="26"/>
                <w:szCs w:val="26"/>
              </w:rPr>
              <w:t xml:space="preserve"> решению Совета директоров Общества.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b/>
                <w:sz w:val="26"/>
                <w:szCs w:val="26"/>
                <w:lang w:eastAsia="en-US"/>
              </w:rPr>
              <w:t>Раскрытие инсайдерской информации</w:t>
            </w:r>
          </w:p>
          <w:p w:rsidR="0056014D" w:rsidRPr="0056014D" w:rsidRDefault="0056014D" w:rsidP="0056014D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56014D">
              <w:rPr>
                <w:b/>
                <w:sz w:val="26"/>
                <w:szCs w:val="26"/>
              </w:rPr>
              <w:t>По вопросу №10 «Об утверждении бюджета Департамента внутреннего аудита                                ПАО «Кубаньэнерго» на 2020 год</w:t>
            </w:r>
            <w:r w:rsidRPr="0056014D">
              <w:rPr>
                <w:b/>
                <w:color w:val="000000"/>
                <w:sz w:val="26"/>
                <w:szCs w:val="26"/>
              </w:rPr>
              <w:t>».</w:t>
            </w:r>
          </w:p>
        </w:tc>
      </w:tr>
      <w:tr w:rsidR="0056014D" w:rsidRPr="0056014D" w:rsidTr="0056014D">
        <w:trPr>
          <w:trHeight w:val="848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2.2.10. Содержание решений, принятых советом директоров эмитента:</w:t>
            </w:r>
          </w:p>
          <w:p w:rsidR="0056014D" w:rsidRPr="0056014D" w:rsidRDefault="0056014D" w:rsidP="0056014D">
            <w:pPr>
              <w:widowControl w:val="0"/>
              <w:ind w:firstLine="709"/>
              <w:jc w:val="both"/>
              <w:rPr>
                <w:i/>
                <w:sz w:val="26"/>
                <w:szCs w:val="26"/>
              </w:rPr>
            </w:pPr>
            <w:r w:rsidRPr="0056014D">
              <w:rPr>
                <w:bCs/>
                <w:i/>
                <w:sz w:val="26"/>
                <w:szCs w:val="26"/>
              </w:rPr>
              <w:t>Утвердить бюджет департамента внутреннего аудита ПАО «Кубаньэнерго» на 2020 год согласно приложению № 16 к настоящему решению Совета директоров Общества.</w:t>
            </w:r>
          </w:p>
        </w:tc>
      </w:tr>
      <w:tr w:rsidR="0056014D" w:rsidRPr="0056014D" w:rsidTr="0056014D">
        <w:tc>
          <w:tcPr>
            <w:tcW w:w="10348" w:type="dxa"/>
            <w:gridSpan w:val="2"/>
            <w:shd w:val="clear" w:color="auto" w:fill="auto"/>
          </w:tcPr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 w:rsidRPr="0056014D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31 декабря 2019 года.</w:t>
            </w:r>
          </w:p>
          <w:p w:rsidR="0056014D" w:rsidRPr="0056014D" w:rsidRDefault="0056014D" w:rsidP="0056014D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2.4. Дата составления и номер протокола заседания совета директоров эмитента, на котором приняты соответствующие решения:</w:t>
            </w:r>
            <w:r w:rsidRPr="0056014D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 xml:space="preserve"> 31 декабря 2019 года, протокол №373/2019.</w:t>
            </w:r>
          </w:p>
        </w:tc>
      </w:tr>
      <w:tr w:rsidR="0056014D" w:rsidRPr="0056014D" w:rsidTr="0056014D">
        <w:tc>
          <w:tcPr>
            <w:tcW w:w="10348" w:type="dxa"/>
            <w:gridSpan w:val="2"/>
          </w:tcPr>
          <w:p w:rsidR="0056014D" w:rsidRPr="0056014D" w:rsidRDefault="0056014D" w:rsidP="0056014D">
            <w:pPr>
              <w:autoSpaceDE/>
              <w:autoSpaceDN/>
              <w:ind w:left="36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3. Подпись</w:t>
            </w:r>
          </w:p>
        </w:tc>
      </w:tr>
      <w:tr w:rsidR="0056014D" w:rsidRPr="0056014D" w:rsidTr="0056014D">
        <w:trPr>
          <w:trHeight w:val="1357"/>
        </w:trPr>
        <w:tc>
          <w:tcPr>
            <w:tcW w:w="10348" w:type="dxa"/>
            <w:gridSpan w:val="2"/>
          </w:tcPr>
          <w:p w:rsidR="0056014D" w:rsidRPr="0056014D" w:rsidRDefault="0056014D" w:rsidP="0056014D">
            <w:pPr>
              <w:rPr>
                <w:rFonts w:eastAsia="Calibri"/>
                <w:sz w:val="26"/>
                <w:szCs w:val="26"/>
              </w:rPr>
            </w:pPr>
            <w:r w:rsidRPr="0056014D">
              <w:rPr>
                <w:sz w:val="26"/>
                <w:szCs w:val="26"/>
              </w:rPr>
              <w:t>3.1.</w:t>
            </w:r>
            <w:r w:rsidRPr="0056014D">
              <w:rPr>
                <w:rFonts w:eastAsia="Calibri"/>
                <w:sz w:val="26"/>
                <w:szCs w:val="26"/>
              </w:rPr>
              <w:t xml:space="preserve">Заместитель генерального директора </w:t>
            </w:r>
          </w:p>
          <w:p w:rsidR="0056014D" w:rsidRPr="0056014D" w:rsidRDefault="0056014D" w:rsidP="0056014D">
            <w:pPr>
              <w:rPr>
                <w:rFonts w:eastAsia="Calibri"/>
                <w:sz w:val="26"/>
                <w:szCs w:val="26"/>
              </w:rPr>
            </w:pPr>
            <w:r w:rsidRPr="0056014D">
              <w:rPr>
                <w:rFonts w:eastAsia="Calibri"/>
                <w:sz w:val="26"/>
                <w:szCs w:val="26"/>
              </w:rPr>
              <w:t xml:space="preserve">по корпоративному управлению                             ____________________    З.И. </w:t>
            </w:r>
            <w:proofErr w:type="spellStart"/>
            <w:r w:rsidRPr="0056014D">
              <w:rPr>
                <w:rFonts w:eastAsia="Calibri"/>
                <w:sz w:val="26"/>
                <w:szCs w:val="26"/>
              </w:rPr>
              <w:t>Хазикова</w:t>
            </w:r>
            <w:proofErr w:type="spellEnd"/>
          </w:p>
          <w:p w:rsidR="0056014D" w:rsidRPr="0056014D" w:rsidRDefault="0056014D" w:rsidP="0056014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6014D">
              <w:rPr>
                <w:rFonts w:eastAsia="Calibri"/>
                <w:sz w:val="20"/>
                <w:szCs w:val="20"/>
              </w:rPr>
              <w:t xml:space="preserve">(по доверенности №23/256-н/23-2019-11-656 от 23.12.2019)                           (подпись)                  </w:t>
            </w:r>
            <w:r w:rsidRPr="0056014D">
              <w:rPr>
                <w:rFonts w:eastAsia="Calibri"/>
                <w:sz w:val="20"/>
                <w:szCs w:val="20"/>
                <w:lang w:eastAsia="en-US"/>
              </w:rPr>
              <w:t xml:space="preserve">                </w:t>
            </w:r>
            <w:r w:rsidRPr="0056014D">
              <w:rPr>
                <w:rFonts w:eastAsia="Calibri"/>
                <w:sz w:val="20"/>
                <w:szCs w:val="20"/>
              </w:rPr>
              <w:t xml:space="preserve">                                 </w:t>
            </w:r>
            <w:r w:rsidRPr="0056014D">
              <w:rPr>
                <w:rFonts w:eastAsia="Calibri"/>
                <w:sz w:val="20"/>
                <w:szCs w:val="20"/>
                <w:lang w:eastAsia="en-US"/>
              </w:rPr>
              <w:t xml:space="preserve">                </w:t>
            </w:r>
          </w:p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56014D" w:rsidRPr="0056014D" w:rsidRDefault="0056014D" w:rsidP="0056014D">
            <w:pPr>
              <w:autoSpaceDE/>
              <w:autoSpaceDN/>
              <w:rPr>
                <w:rFonts w:eastAsiaTheme="minorHAnsi"/>
                <w:sz w:val="26"/>
                <w:szCs w:val="26"/>
                <w:lang w:eastAsia="en-US"/>
              </w:rPr>
            </w:pPr>
            <w:r w:rsidRPr="0056014D">
              <w:rPr>
                <w:rFonts w:eastAsiaTheme="minorHAnsi"/>
                <w:sz w:val="26"/>
                <w:szCs w:val="26"/>
                <w:lang w:eastAsia="en-US"/>
              </w:rPr>
              <w:t>3.2. Дата  «09» января 2020 г.                         М.П.</w:t>
            </w:r>
          </w:p>
        </w:tc>
      </w:tr>
    </w:tbl>
    <w:p w:rsidR="0056014D" w:rsidRPr="0056014D" w:rsidRDefault="0056014D" w:rsidP="0056014D">
      <w:pPr>
        <w:jc w:val="center"/>
        <w:rPr>
          <w:sz w:val="26"/>
          <w:szCs w:val="26"/>
        </w:rPr>
      </w:pPr>
    </w:p>
    <w:p w:rsidR="0056014D" w:rsidRPr="0056014D" w:rsidRDefault="0056014D" w:rsidP="006537DD">
      <w:pPr>
        <w:jc w:val="center"/>
        <w:rPr>
          <w:sz w:val="26"/>
          <w:szCs w:val="26"/>
        </w:rPr>
      </w:pPr>
    </w:p>
    <w:sectPr w:rsidR="0056014D" w:rsidRPr="0056014D" w:rsidSect="006537D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28" w:rsidRDefault="00546428" w:rsidP="00C5099C">
      <w:r>
        <w:separator/>
      </w:r>
    </w:p>
  </w:endnote>
  <w:endnote w:type="continuationSeparator" w:id="0">
    <w:p w:rsidR="00546428" w:rsidRDefault="00546428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28" w:rsidRDefault="00546428" w:rsidP="00C5099C">
      <w:r>
        <w:separator/>
      </w:r>
    </w:p>
  </w:footnote>
  <w:footnote w:type="continuationSeparator" w:id="0">
    <w:p w:rsidR="00546428" w:rsidRDefault="00546428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A7678E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2B23"/>
    <w:rsid w:val="00015287"/>
    <w:rsid w:val="00020C5E"/>
    <w:rsid w:val="000238F7"/>
    <w:rsid w:val="0002612C"/>
    <w:rsid w:val="00036FF9"/>
    <w:rsid w:val="00046601"/>
    <w:rsid w:val="000513D5"/>
    <w:rsid w:val="000528AB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B7FE2"/>
    <w:rsid w:val="000D1922"/>
    <w:rsid w:val="000D5047"/>
    <w:rsid w:val="000D587F"/>
    <w:rsid w:val="000D76C8"/>
    <w:rsid w:val="000D795F"/>
    <w:rsid w:val="000E12B9"/>
    <w:rsid w:val="000E1ED9"/>
    <w:rsid w:val="000E1FED"/>
    <w:rsid w:val="000E2653"/>
    <w:rsid w:val="000E5E7E"/>
    <w:rsid w:val="000F01FC"/>
    <w:rsid w:val="000F4DFE"/>
    <w:rsid w:val="00101C52"/>
    <w:rsid w:val="0010430A"/>
    <w:rsid w:val="0011275D"/>
    <w:rsid w:val="00126B73"/>
    <w:rsid w:val="00131D48"/>
    <w:rsid w:val="00142353"/>
    <w:rsid w:val="00143D25"/>
    <w:rsid w:val="00147EFD"/>
    <w:rsid w:val="00155944"/>
    <w:rsid w:val="00155E90"/>
    <w:rsid w:val="00157223"/>
    <w:rsid w:val="00166C79"/>
    <w:rsid w:val="001762AE"/>
    <w:rsid w:val="0018648B"/>
    <w:rsid w:val="00190E0A"/>
    <w:rsid w:val="00196318"/>
    <w:rsid w:val="001A4FE8"/>
    <w:rsid w:val="001A5D8D"/>
    <w:rsid w:val="001B23FD"/>
    <w:rsid w:val="001B4D6A"/>
    <w:rsid w:val="001B5463"/>
    <w:rsid w:val="001B7196"/>
    <w:rsid w:val="001C064D"/>
    <w:rsid w:val="001C2BB0"/>
    <w:rsid w:val="001C5F13"/>
    <w:rsid w:val="001C624A"/>
    <w:rsid w:val="001D2761"/>
    <w:rsid w:val="001E000F"/>
    <w:rsid w:val="001E055B"/>
    <w:rsid w:val="001E3A5C"/>
    <w:rsid w:val="0020007C"/>
    <w:rsid w:val="002009E2"/>
    <w:rsid w:val="0020448C"/>
    <w:rsid w:val="00212EFE"/>
    <w:rsid w:val="00213956"/>
    <w:rsid w:val="0022502C"/>
    <w:rsid w:val="002252C2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914CE"/>
    <w:rsid w:val="00393C50"/>
    <w:rsid w:val="00396CF0"/>
    <w:rsid w:val="00397CE5"/>
    <w:rsid w:val="003A0253"/>
    <w:rsid w:val="003A3479"/>
    <w:rsid w:val="003A5EF6"/>
    <w:rsid w:val="003A77D0"/>
    <w:rsid w:val="003B18CF"/>
    <w:rsid w:val="003B4FA2"/>
    <w:rsid w:val="003B6A95"/>
    <w:rsid w:val="003D4607"/>
    <w:rsid w:val="003D7747"/>
    <w:rsid w:val="003E26F6"/>
    <w:rsid w:val="003E2A23"/>
    <w:rsid w:val="003F0A20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3765"/>
    <w:rsid w:val="00434649"/>
    <w:rsid w:val="004501D1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72B6"/>
    <w:rsid w:val="00497E21"/>
    <w:rsid w:val="004A4158"/>
    <w:rsid w:val="004A68E9"/>
    <w:rsid w:val="004B502D"/>
    <w:rsid w:val="004C0FB3"/>
    <w:rsid w:val="004C1325"/>
    <w:rsid w:val="004C6F9E"/>
    <w:rsid w:val="004C7A35"/>
    <w:rsid w:val="004D0A6C"/>
    <w:rsid w:val="004D1160"/>
    <w:rsid w:val="004D1454"/>
    <w:rsid w:val="004D2E11"/>
    <w:rsid w:val="004D4078"/>
    <w:rsid w:val="004D532C"/>
    <w:rsid w:val="004D7229"/>
    <w:rsid w:val="004E4E90"/>
    <w:rsid w:val="004F1587"/>
    <w:rsid w:val="004F1988"/>
    <w:rsid w:val="004F2011"/>
    <w:rsid w:val="004F5D30"/>
    <w:rsid w:val="004F6A0D"/>
    <w:rsid w:val="00515A50"/>
    <w:rsid w:val="00516D7E"/>
    <w:rsid w:val="00524BEA"/>
    <w:rsid w:val="005342A7"/>
    <w:rsid w:val="00546428"/>
    <w:rsid w:val="0055168B"/>
    <w:rsid w:val="00552531"/>
    <w:rsid w:val="005546E2"/>
    <w:rsid w:val="0056014D"/>
    <w:rsid w:val="00566266"/>
    <w:rsid w:val="00570456"/>
    <w:rsid w:val="00573881"/>
    <w:rsid w:val="00573D3B"/>
    <w:rsid w:val="005741CE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36EB"/>
    <w:rsid w:val="005E0024"/>
    <w:rsid w:val="005E4E27"/>
    <w:rsid w:val="005F1291"/>
    <w:rsid w:val="005F2B8D"/>
    <w:rsid w:val="00601200"/>
    <w:rsid w:val="006016DF"/>
    <w:rsid w:val="00602C3E"/>
    <w:rsid w:val="00603716"/>
    <w:rsid w:val="00604A93"/>
    <w:rsid w:val="0060737B"/>
    <w:rsid w:val="00616714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60C4C"/>
    <w:rsid w:val="00662ADC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A7084"/>
    <w:rsid w:val="006C05EA"/>
    <w:rsid w:val="006C3F57"/>
    <w:rsid w:val="006C3F70"/>
    <w:rsid w:val="006C5307"/>
    <w:rsid w:val="006D7BF2"/>
    <w:rsid w:val="006F08DD"/>
    <w:rsid w:val="006F09D1"/>
    <w:rsid w:val="006F73C2"/>
    <w:rsid w:val="00703358"/>
    <w:rsid w:val="0070694D"/>
    <w:rsid w:val="0070781F"/>
    <w:rsid w:val="00714127"/>
    <w:rsid w:val="007237FC"/>
    <w:rsid w:val="0073249D"/>
    <w:rsid w:val="00735A80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77517"/>
    <w:rsid w:val="00791BEF"/>
    <w:rsid w:val="007A467C"/>
    <w:rsid w:val="007B689E"/>
    <w:rsid w:val="007C3B23"/>
    <w:rsid w:val="007D3EC1"/>
    <w:rsid w:val="007D6383"/>
    <w:rsid w:val="007D675E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76FB"/>
    <w:rsid w:val="008361AE"/>
    <w:rsid w:val="00844B2D"/>
    <w:rsid w:val="00845652"/>
    <w:rsid w:val="00847B0B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B1B4D"/>
    <w:rsid w:val="008B2478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0E9D"/>
    <w:rsid w:val="008F10E8"/>
    <w:rsid w:val="008F396F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0BC"/>
    <w:rsid w:val="0094398D"/>
    <w:rsid w:val="00947961"/>
    <w:rsid w:val="00950521"/>
    <w:rsid w:val="009531E3"/>
    <w:rsid w:val="00960705"/>
    <w:rsid w:val="00961820"/>
    <w:rsid w:val="00966134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72DB"/>
    <w:rsid w:val="009D0BEB"/>
    <w:rsid w:val="009D0FC3"/>
    <w:rsid w:val="009E0703"/>
    <w:rsid w:val="009E3C99"/>
    <w:rsid w:val="009E59C7"/>
    <w:rsid w:val="009F027C"/>
    <w:rsid w:val="009F3D9B"/>
    <w:rsid w:val="009F6366"/>
    <w:rsid w:val="00A01A77"/>
    <w:rsid w:val="00A03CE2"/>
    <w:rsid w:val="00A04BCB"/>
    <w:rsid w:val="00A103A2"/>
    <w:rsid w:val="00A13495"/>
    <w:rsid w:val="00A212F6"/>
    <w:rsid w:val="00A258B1"/>
    <w:rsid w:val="00A32B37"/>
    <w:rsid w:val="00A32CCA"/>
    <w:rsid w:val="00A4230B"/>
    <w:rsid w:val="00A46683"/>
    <w:rsid w:val="00A50E41"/>
    <w:rsid w:val="00A5222F"/>
    <w:rsid w:val="00A535F3"/>
    <w:rsid w:val="00A727D2"/>
    <w:rsid w:val="00A8319A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6683"/>
    <w:rsid w:val="00B57CDE"/>
    <w:rsid w:val="00B70C4F"/>
    <w:rsid w:val="00B7221F"/>
    <w:rsid w:val="00B74897"/>
    <w:rsid w:val="00B905ED"/>
    <w:rsid w:val="00B93DEA"/>
    <w:rsid w:val="00B96624"/>
    <w:rsid w:val="00BA07D4"/>
    <w:rsid w:val="00BA33B5"/>
    <w:rsid w:val="00BA4527"/>
    <w:rsid w:val="00BA5195"/>
    <w:rsid w:val="00BC4A00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36ADF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94757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06CA8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661CA"/>
    <w:rsid w:val="00D67557"/>
    <w:rsid w:val="00D730FA"/>
    <w:rsid w:val="00D7746C"/>
    <w:rsid w:val="00D80494"/>
    <w:rsid w:val="00D83715"/>
    <w:rsid w:val="00D8755C"/>
    <w:rsid w:val="00D90760"/>
    <w:rsid w:val="00D91C77"/>
    <w:rsid w:val="00D967F8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2267A"/>
    <w:rsid w:val="00E2472C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D285A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53FC"/>
    <w:rsid w:val="00F4206E"/>
    <w:rsid w:val="00F4312C"/>
    <w:rsid w:val="00F46136"/>
    <w:rsid w:val="00F6573B"/>
    <w:rsid w:val="00F66A85"/>
    <w:rsid w:val="00F70266"/>
    <w:rsid w:val="00F8391D"/>
    <w:rsid w:val="00F906CE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6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6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314A5-22D8-4BC4-8D5E-1292CEA6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6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14</cp:revision>
  <cp:lastPrinted>2020-01-27T18:00:00Z</cp:lastPrinted>
  <dcterms:created xsi:type="dcterms:W3CDTF">2020-01-09T08:25:00Z</dcterms:created>
  <dcterms:modified xsi:type="dcterms:W3CDTF">2020-01-27T18:44:00Z</dcterms:modified>
</cp:coreProperties>
</file>