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5F" w:rsidRPr="00D0175F" w:rsidRDefault="00D0175F" w:rsidP="00D0175F">
      <w:pPr>
        <w:jc w:val="center"/>
        <w:rPr>
          <w:b/>
          <w:bCs/>
          <w:color w:val="000000"/>
          <w:lang w:val="en-US"/>
        </w:rPr>
      </w:pPr>
      <w:r w:rsidRPr="00D0175F">
        <w:rPr>
          <w:b/>
          <w:bCs/>
          <w:color w:val="000000"/>
          <w:lang w:val="en-US"/>
        </w:rPr>
        <w:t xml:space="preserve">Corporate action notification </w:t>
      </w:r>
    </w:p>
    <w:p w:rsidR="00D0175F" w:rsidRPr="00D0175F" w:rsidRDefault="00D0175F" w:rsidP="00D0175F">
      <w:pPr>
        <w:jc w:val="center"/>
        <w:rPr>
          <w:b/>
          <w:bCs/>
          <w:color w:val="000000"/>
          <w:lang w:val="en-US"/>
        </w:rPr>
      </w:pPr>
      <w:r w:rsidRPr="00D0175F">
        <w:rPr>
          <w:b/>
          <w:bCs/>
          <w:color w:val="000000"/>
          <w:lang w:val="en-US"/>
        </w:rPr>
        <w:t>‘For a meeting of the Issuer’s Board of Directors and its agenda’</w:t>
      </w:r>
    </w:p>
    <w:p w:rsidR="000C7EFD" w:rsidRPr="002E07A8" w:rsidRDefault="00D0175F" w:rsidP="00D0175F">
      <w:pPr>
        <w:jc w:val="center"/>
        <w:rPr>
          <w:b/>
          <w:bCs/>
          <w:color w:val="000000"/>
        </w:rPr>
      </w:pPr>
      <w:r w:rsidRPr="00D0175F">
        <w:rPr>
          <w:b/>
          <w:bCs/>
          <w:color w:val="000000"/>
        </w:rPr>
        <w:t>(disclosure of insider information)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396AAF" w:rsidRPr="002E07A8" w:rsidTr="00D11359">
        <w:tc>
          <w:tcPr>
            <w:tcW w:w="10348" w:type="dxa"/>
            <w:gridSpan w:val="2"/>
          </w:tcPr>
          <w:p w:rsidR="00396AAF" w:rsidRPr="002E07A8" w:rsidRDefault="00ED1D8B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</w:t>
            </w:r>
            <w:r w:rsidR="00D01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</w:t>
            </w:r>
          </w:p>
        </w:tc>
      </w:tr>
      <w:tr w:rsidR="00073B3B" w:rsidRPr="00710D40" w:rsidTr="007E12BB">
        <w:tc>
          <w:tcPr>
            <w:tcW w:w="4395" w:type="dxa"/>
          </w:tcPr>
          <w:p w:rsidR="00073B3B" w:rsidRPr="00073B3B" w:rsidRDefault="00073B3B" w:rsidP="00F063FD">
            <w:pPr>
              <w:rPr>
                <w:lang w:val="en-US"/>
              </w:rPr>
            </w:pPr>
            <w:r w:rsidRPr="00073B3B">
              <w:rPr>
                <w:lang w:val="en-US"/>
              </w:rPr>
              <w:t>1.1  Full corporate name of the issuer</w:t>
            </w:r>
          </w:p>
        </w:tc>
        <w:tc>
          <w:tcPr>
            <w:tcW w:w="5953" w:type="dxa"/>
          </w:tcPr>
          <w:p w:rsidR="00073B3B" w:rsidRPr="00073B3B" w:rsidRDefault="00073B3B" w:rsidP="00C54176">
            <w:pPr>
              <w:rPr>
                <w:i/>
                <w:lang w:val="en-US"/>
              </w:rPr>
            </w:pPr>
            <w:r w:rsidRPr="00073B3B">
              <w:rPr>
                <w:i/>
                <w:lang w:val="en-US"/>
              </w:rPr>
              <w:t xml:space="preserve">Public Joint Stock Company of Power Industry and Electrification of Kuban </w:t>
            </w:r>
          </w:p>
        </w:tc>
      </w:tr>
      <w:tr w:rsidR="00073B3B" w:rsidRPr="002E07A8" w:rsidTr="007E12BB">
        <w:tc>
          <w:tcPr>
            <w:tcW w:w="4395" w:type="dxa"/>
          </w:tcPr>
          <w:p w:rsidR="00073B3B" w:rsidRPr="00D0175F" w:rsidRDefault="00073B3B" w:rsidP="00F063FD">
            <w:pPr>
              <w:rPr>
                <w:lang w:val="en-US"/>
              </w:rPr>
            </w:pPr>
            <w:r w:rsidRPr="00D0175F">
              <w:rPr>
                <w:lang w:val="en-US"/>
              </w:rPr>
              <w:t>1.2. Short name of the issuer</w:t>
            </w:r>
          </w:p>
        </w:tc>
        <w:tc>
          <w:tcPr>
            <w:tcW w:w="5953" w:type="dxa"/>
          </w:tcPr>
          <w:p w:rsidR="00073B3B" w:rsidRPr="00073B3B" w:rsidRDefault="00073B3B" w:rsidP="00C54176">
            <w:pPr>
              <w:rPr>
                <w:i/>
              </w:rPr>
            </w:pPr>
            <w:r w:rsidRPr="00073B3B">
              <w:rPr>
                <w:i/>
              </w:rPr>
              <w:t>PJSC Kubanenergo</w:t>
            </w:r>
          </w:p>
        </w:tc>
      </w:tr>
      <w:tr w:rsidR="00073B3B" w:rsidRPr="002E07A8" w:rsidTr="007E12BB">
        <w:tc>
          <w:tcPr>
            <w:tcW w:w="4395" w:type="dxa"/>
          </w:tcPr>
          <w:p w:rsidR="00073B3B" w:rsidRPr="00D0175F" w:rsidRDefault="00073B3B" w:rsidP="00F063FD">
            <w:pPr>
              <w:rPr>
                <w:lang w:val="en-US"/>
              </w:rPr>
            </w:pPr>
            <w:r w:rsidRPr="00D0175F">
              <w:rPr>
                <w:lang w:val="en-US"/>
              </w:rPr>
              <w:t>1.3. Registered office of the issuer</w:t>
            </w:r>
          </w:p>
        </w:tc>
        <w:tc>
          <w:tcPr>
            <w:tcW w:w="5953" w:type="dxa"/>
          </w:tcPr>
          <w:p w:rsidR="00073B3B" w:rsidRPr="00073B3B" w:rsidRDefault="00073B3B" w:rsidP="00C54176">
            <w:pPr>
              <w:rPr>
                <w:i/>
              </w:rPr>
            </w:pPr>
            <w:r w:rsidRPr="00073B3B">
              <w:rPr>
                <w:i/>
              </w:rPr>
              <w:t>the Russian Federation, Krasnodar</w:t>
            </w:r>
          </w:p>
        </w:tc>
      </w:tr>
      <w:tr w:rsidR="00D0175F" w:rsidRPr="002E07A8" w:rsidTr="007E12BB">
        <w:tc>
          <w:tcPr>
            <w:tcW w:w="4395" w:type="dxa"/>
          </w:tcPr>
          <w:p w:rsidR="00D0175F" w:rsidRPr="00E425F5" w:rsidRDefault="00D0175F" w:rsidP="00F063FD">
            <w:r w:rsidRPr="00E425F5">
              <w:t>1.4. PSRN of the issuer</w:t>
            </w:r>
          </w:p>
        </w:tc>
        <w:tc>
          <w:tcPr>
            <w:tcW w:w="5953" w:type="dxa"/>
          </w:tcPr>
          <w:p w:rsidR="00D0175F" w:rsidRPr="002E07A8" w:rsidRDefault="00D0175F" w:rsidP="005A1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1022301427268</w:t>
            </w:r>
          </w:p>
        </w:tc>
      </w:tr>
      <w:tr w:rsidR="00D0175F" w:rsidRPr="002E07A8" w:rsidTr="007E12BB">
        <w:tc>
          <w:tcPr>
            <w:tcW w:w="4395" w:type="dxa"/>
          </w:tcPr>
          <w:p w:rsidR="00D0175F" w:rsidRPr="00E425F5" w:rsidRDefault="00D0175F" w:rsidP="00F063FD">
            <w:r w:rsidRPr="00E425F5">
              <w:t>1.5. TIN of the issuer</w:t>
            </w:r>
          </w:p>
        </w:tc>
        <w:tc>
          <w:tcPr>
            <w:tcW w:w="5953" w:type="dxa"/>
          </w:tcPr>
          <w:p w:rsidR="00D0175F" w:rsidRPr="002E07A8" w:rsidRDefault="00D0175F" w:rsidP="005A1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2309001660</w:t>
            </w:r>
          </w:p>
        </w:tc>
      </w:tr>
      <w:tr w:rsidR="00D0175F" w:rsidRPr="002E07A8" w:rsidTr="007E12BB">
        <w:tc>
          <w:tcPr>
            <w:tcW w:w="4395" w:type="dxa"/>
          </w:tcPr>
          <w:p w:rsidR="00D0175F" w:rsidRPr="00D0175F" w:rsidRDefault="00D0175F" w:rsidP="00F063FD">
            <w:pPr>
              <w:rPr>
                <w:lang w:val="en-US"/>
              </w:rPr>
            </w:pPr>
            <w:r w:rsidRPr="00D0175F">
              <w:rPr>
                <w:lang w:val="en-US"/>
              </w:rPr>
              <w:t>1.6. Unique code of the issuer assigned by the registration body</w:t>
            </w:r>
          </w:p>
        </w:tc>
        <w:tc>
          <w:tcPr>
            <w:tcW w:w="5953" w:type="dxa"/>
          </w:tcPr>
          <w:p w:rsidR="00D0175F" w:rsidRPr="002E07A8" w:rsidRDefault="00D0175F" w:rsidP="005A1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00063-А</w:t>
            </w:r>
          </w:p>
        </w:tc>
      </w:tr>
      <w:tr w:rsidR="00D0175F" w:rsidRPr="00710D40" w:rsidTr="007E12BB">
        <w:tc>
          <w:tcPr>
            <w:tcW w:w="4395" w:type="dxa"/>
          </w:tcPr>
          <w:p w:rsidR="00D0175F" w:rsidRPr="00D0175F" w:rsidRDefault="00D0175F" w:rsidP="00F063FD">
            <w:pPr>
              <w:rPr>
                <w:lang w:val="en-US"/>
              </w:rPr>
            </w:pPr>
            <w:r w:rsidRPr="00D0175F">
              <w:rPr>
                <w:lang w:val="en-US"/>
              </w:rPr>
              <w:t>1.7. URL used by the issuer for information disclosure</w:t>
            </w:r>
          </w:p>
        </w:tc>
        <w:tc>
          <w:tcPr>
            <w:tcW w:w="5953" w:type="dxa"/>
          </w:tcPr>
          <w:p w:rsidR="00D0175F" w:rsidRPr="00505C58" w:rsidRDefault="00D0175F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</w:t>
            </w:r>
            <w:r w:rsidRPr="00505C5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://</w:t>
            </w:r>
            <w:r w:rsidR="00710D40">
              <w:fldChar w:fldCharType="begin"/>
            </w:r>
            <w:r w:rsidR="00710D40" w:rsidRPr="00710D40">
              <w:rPr>
                <w:lang w:val="en-US"/>
              </w:rPr>
              <w:instrText xml:space="preserve"> HYPERLINK "http://www.kubanenergo.ru" </w:instrText>
            </w:r>
            <w:r w:rsidR="00710D40">
              <w:fldChar w:fldCharType="separate"/>
            </w:r>
            <w:r w:rsidRPr="002E07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www</w:t>
            </w:r>
            <w:r w:rsidRPr="00505C5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2E07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kubanenergo</w:t>
            </w:r>
            <w:r w:rsidRPr="00505C5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2E07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</w:t>
            </w:r>
            <w:r w:rsidR="00710D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fldChar w:fldCharType="end"/>
            </w:r>
            <w:r w:rsidRPr="00505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D0175F" w:rsidRPr="00505C58" w:rsidRDefault="00D0175F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05C5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http://www.e-isclosure.ru/portal/company.aspx?id=2827</w:t>
            </w:r>
          </w:p>
          <w:p w:rsidR="00D0175F" w:rsidRPr="00505C58" w:rsidRDefault="00D0175F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D0175F" w:rsidRPr="002E07A8" w:rsidTr="007E12BB">
        <w:tc>
          <w:tcPr>
            <w:tcW w:w="4395" w:type="dxa"/>
          </w:tcPr>
          <w:p w:rsidR="00D0175F" w:rsidRPr="00D0175F" w:rsidRDefault="00D0175F" w:rsidP="00F063FD">
            <w:pPr>
              <w:rPr>
                <w:lang w:val="en-US"/>
              </w:rPr>
            </w:pPr>
            <w:r w:rsidRPr="00D0175F">
              <w:rPr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5953" w:type="dxa"/>
          </w:tcPr>
          <w:p w:rsidR="00D0175F" w:rsidRPr="002E07A8" w:rsidRDefault="00073B3B" w:rsidP="00EB0CCB">
            <w:pPr>
              <w:jc w:val="both"/>
            </w:pPr>
            <w:r>
              <w:rPr>
                <w:lang w:val="en-US"/>
              </w:rPr>
              <w:t xml:space="preserve">April </w:t>
            </w:r>
            <w:r w:rsidR="00D0175F">
              <w:t>21</w:t>
            </w:r>
            <w:r>
              <w:rPr>
                <w:lang w:val="en-US"/>
              </w:rPr>
              <w:t xml:space="preserve">, </w:t>
            </w:r>
            <w:r w:rsidR="00D0175F" w:rsidRPr="002E07A8">
              <w:t>2020</w:t>
            </w:r>
          </w:p>
        </w:tc>
      </w:tr>
      <w:tr w:rsidR="00396AAF" w:rsidRPr="002E07A8" w:rsidTr="00D11359">
        <w:tc>
          <w:tcPr>
            <w:tcW w:w="10348" w:type="dxa"/>
            <w:gridSpan w:val="2"/>
          </w:tcPr>
          <w:p w:rsidR="00396AAF" w:rsidRPr="00D0175F" w:rsidRDefault="00396AAF" w:rsidP="00D0175F">
            <w:pPr>
              <w:jc w:val="center"/>
              <w:rPr>
                <w:lang w:val="en-US"/>
              </w:rPr>
            </w:pPr>
            <w:r w:rsidRPr="002E07A8">
              <w:t xml:space="preserve">2. </w:t>
            </w:r>
            <w:r w:rsidR="00D0175F">
              <w:rPr>
                <w:lang w:val="en-US"/>
              </w:rPr>
              <w:t>Notification content</w:t>
            </w:r>
          </w:p>
        </w:tc>
      </w:tr>
      <w:tr w:rsidR="00396AAF" w:rsidRPr="00710D40" w:rsidTr="00D11359">
        <w:tc>
          <w:tcPr>
            <w:tcW w:w="10348" w:type="dxa"/>
            <w:gridSpan w:val="2"/>
          </w:tcPr>
          <w:p w:rsidR="00396AAF" w:rsidRPr="00D0175F" w:rsidRDefault="00396AAF" w:rsidP="00D0175F">
            <w:pPr>
              <w:jc w:val="both"/>
              <w:rPr>
                <w:lang w:val="en-US"/>
              </w:rPr>
            </w:pPr>
            <w:r w:rsidRPr="00D0175F">
              <w:rPr>
                <w:lang w:val="en-US"/>
              </w:rPr>
              <w:t xml:space="preserve">2.1. </w:t>
            </w:r>
            <w:r w:rsidR="00D0175F" w:rsidRPr="00D0175F">
              <w:rPr>
                <w:szCs w:val="25"/>
                <w:lang w:val="en-US"/>
              </w:rPr>
              <w:t xml:space="preserve">The date of decision by the Chairman </w:t>
            </w:r>
            <w:r w:rsidR="00D0175F" w:rsidRPr="00D0175F">
              <w:rPr>
                <w:bCs/>
                <w:color w:val="000000"/>
                <w:szCs w:val="25"/>
                <w:lang w:val="en-US"/>
              </w:rPr>
              <w:t>of the Issuer’s Board of Directors to conduct the meeting of the Issuer’s Board of Directors</w:t>
            </w:r>
            <w:r w:rsidR="00D0175F" w:rsidRPr="00D0175F">
              <w:rPr>
                <w:bCs/>
                <w:color w:val="000000"/>
                <w:szCs w:val="26"/>
                <w:lang w:val="en-US"/>
              </w:rPr>
              <w:t xml:space="preserve"> </w:t>
            </w:r>
            <w:r w:rsidRPr="00D0175F">
              <w:rPr>
                <w:b/>
                <w:i/>
                <w:color w:val="000000"/>
                <w:lang w:val="en-US"/>
              </w:rPr>
              <w:t>–</w:t>
            </w:r>
            <w:r w:rsidR="00D0175F">
              <w:rPr>
                <w:b/>
                <w:i/>
                <w:color w:val="000000"/>
                <w:lang w:val="en-US"/>
              </w:rPr>
              <w:t xml:space="preserve"> April</w:t>
            </w:r>
            <w:r w:rsidR="00D0175F" w:rsidRPr="00D0175F">
              <w:rPr>
                <w:b/>
                <w:i/>
                <w:color w:val="000000"/>
                <w:lang w:val="en-US"/>
              </w:rPr>
              <w:t xml:space="preserve"> </w:t>
            </w:r>
            <w:r w:rsidR="009D0510" w:rsidRPr="00D0175F">
              <w:rPr>
                <w:b/>
                <w:i/>
                <w:color w:val="000000"/>
                <w:lang w:val="en-US"/>
              </w:rPr>
              <w:t>2</w:t>
            </w:r>
            <w:r w:rsidR="00162ACE" w:rsidRPr="00D0175F">
              <w:rPr>
                <w:b/>
                <w:i/>
                <w:color w:val="000000"/>
                <w:lang w:val="en-US"/>
              </w:rPr>
              <w:t>1</w:t>
            </w:r>
            <w:r w:rsidR="00D0175F" w:rsidRPr="00D0175F">
              <w:rPr>
                <w:b/>
                <w:i/>
                <w:color w:val="000000"/>
                <w:lang w:val="en-US"/>
              </w:rPr>
              <w:t xml:space="preserve">, </w:t>
            </w:r>
            <w:r w:rsidR="00A256D1" w:rsidRPr="00D0175F">
              <w:rPr>
                <w:b/>
                <w:i/>
                <w:color w:val="000000"/>
                <w:lang w:val="en-US"/>
              </w:rPr>
              <w:t>20</w:t>
            </w:r>
            <w:r w:rsidR="00695C20" w:rsidRPr="00D0175F">
              <w:rPr>
                <w:b/>
                <w:i/>
                <w:color w:val="000000"/>
                <w:lang w:val="en-US"/>
              </w:rPr>
              <w:t>20</w:t>
            </w:r>
            <w:r w:rsidRPr="00D0175F">
              <w:rPr>
                <w:b/>
                <w:i/>
                <w:lang w:val="en-US"/>
              </w:rPr>
              <w:t>.</w:t>
            </w:r>
          </w:p>
        </w:tc>
      </w:tr>
      <w:tr w:rsidR="00396AAF" w:rsidRPr="00710D40" w:rsidTr="00D11359">
        <w:tc>
          <w:tcPr>
            <w:tcW w:w="10348" w:type="dxa"/>
            <w:gridSpan w:val="2"/>
          </w:tcPr>
          <w:p w:rsidR="00396AAF" w:rsidRPr="00D0175F" w:rsidRDefault="00396AAF" w:rsidP="00D0175F">
            <w:pPr>
              <w:jc w:val="both"/>
              <w:rPr>
                <w:lang w:val="en-US"/>
              </w:rPr>
            </w:pPr>
            <w:r w:rsidRPr="00D0175F">
              <w:rPr>
                <w:lang w:val="en-US"/>
              </w:rPr>
              <w:t xml:space="preserve">2.2. </w:t>
            </w:r>
            <w:r w:rsidR="00D0175F" w:rsidRPr="00ED1D8B">
              <w:rPr>
                <w:szCs w:val="25"/>
                <w:lang w:val="en-US"/>
              </w:rPr>
              <w:t xml:space="preserve">The date for conducting the meeting of the Issuer’s Board of Directors </w:t>
            </w:r>
            <w:r w:rsidR="008F36F1" w:rsidRPr="00D0175F">
              <w:rPr>
                <w:color w:val="000000"/>
                <w:lang w:val="en-US"/>
              </w:rPr>
              <w:t>–</w:t>
            </w:r>
            <w:r w:rsidR="008F36F1" w:rsidRPr="00D0175F">
              <w:rPr>
                <w:b/>
                <w:i/>
                <w:color w:val="000000"/>
                <w:lang w:val="en-US"/>
              </w:rPr>
              <w:t xml:space="preserve"> </w:t>
            </w:r>
            <w:r w:rsidR="00D0175F">
              <w:rPr>
                <w:b/>
                <w:i/>
                <w:color w:val="000000"/>
                <w:lang w:val="en-US"/>
              </w:rPr>
              <w:t xml:space="preserve">April </w:t>
            </w:r>
            <w:r w:rsidR="009D0510" w:rsidRPr="00D0175F">
              <w:rPr>
                <w:b/>
                <w:i/>
                <w:color w:val="000000"/>
                <w:lang w:val="en-US"/>
              </w:rPr>
              <w:t>2</w:t>
            </w:r>
            <w:r w:rsidR="00EB0CCB" w:rsidRPr="00D0175F">
              <w:rPr>
                <w:b/>
                <w:i/>
                <w:color w:val="000000"/>
                <w:lang w:val="en-US"/>
              </w:rPr>
              <w:t>8</w:t>
            </w:r>
            <w:r w:rsidR="00D0175F">
              <w:rPr>
                <w:b/>
                <w:i/>
                <w:color w:val="000000"/>
                <w:lang w:val="en-US"/>
              </w:rPr>
              <w:t>,</w:t>
            </w:r>
            <w:r w:rsidR="009D0510" w:rsidRPr="00D0175F">
              <w:rPr>
                <w:color w:val="000000"/>
                <w:lang w:val="en-US"/>
              </w:rPr>
              <w:t xml:space="preserve"> </w:t>
            </w:r>
            <w:r w:rsidR="00952ED0" w:rsidRPr="00D0175F">
              <w:rPr>
                <w:b/>
                <w:i/>
                <w:color w:val="000000"/>
                <w:lang w:val="en-US"/>
              </w:rPr>
              <w:t>20</w:t>
            </w:r>
            <w:r w:rsidR="00D0175F">
              <w:rPr>
                <w:b/>
                <w:i/>
                <w:color w:val="000000"/>
                <w:lang w:val="en-US"/>
              </w:rPr>
              <w:t>20.</w:t>
            </w:r>
          </w:p>
        </w:tc>
      </w:tr>
      <w:tr w:rsidR="00396AAF" w:rsidRPr="00710D40" w:rsidTr="00162ACE">
        <w:trPr>
          <w:trHeight w:val="904"/>
        </w:trPr>
        <w:tc>
          <w:tcPr>
            <w:tcW w:w="10348" w:type="dxa"/>
            <w:gridSpan w:val="2"/>
          </w:tcPr>
          <w:p w:rsidR="00396AAF" w:rsidRPr="00D0175F" w:rsidRDefault="00396AAF" w:rsidP="00D11359">
            <w:pPr>
              <w:jc w:val="both"/>
              <w:rPr>
                <w:lang w:val="en-US"/>
              </w:rPr>
            </w:pPr>
            <w:r w:rsidRPr="00D0175F">
              <w:rPr>
                <w:lang w:val="en-US"/>
              </w:rPr>
              <w:t xml:space="preserve">2.3. </w:t>
            </w:r>
            <w:r w:rsidR="00D0175F" w:rsidRPr="00ED1D8B">
              <w:rPr>
                <w:szCs w:val="25"/>
                <w:lang w:val="en-US"/>
              </w:rPr>
              <w:t>Agenda of the meeting of the Issuer’s Board of Directors</w:t>
            </w:r>
            <w:r w:rsidRPr="00ED1D8B">
              <w:rPr>
                <w:sz w:val="22"/>
                <w:lang w:val="en-US"/>
              </w:rPr>
              <w:t>:</w:t>
            </w:r>
          </w:p>
          <w:p w:rsidR="00073B3B" w:rsidRPr="00073B3B" w:rsidRDefault="00073B3B" w:rsidP="00073B3B">
            <w:pPr>
              <w:numPr>
                <w:ilvl w:val="0"/>
                <w:numId w:val="45"/>
              </w:numPr>
              <w:tabs>
                <w:tab w:val="left" w:pos="317"/>
              </w:tabs>
              <w:ind w:left="743"/>
              <w:jc w:val="both"/>
              <w:rPr>
                <w:lang w:val="en-US"/>
              </w:rPr>
            </w:pPr>
            <w:r>
              <w:rPr>
                <w:lang w:val="en-US"/>
              </w:rPr>
              <w:t>On</w:t>
            </w:r>
            <w:r w:rsidRPr="00073B3B">
              <w:rPr>
                <w:lang w:val="en-US"/>
              </w:rPr>
              <w:t xml:space="preserve"> preliminary approval of the</w:t>
            </w:r>
            <w:r>
              <w:rPr>
                <w:lang w:val="en-US"/>
              </w:rPr>
              <w:t xml:space="preserve"> annual report of the Company for 2019.</w:t>
            </w:r>
          </w:p>
          <w:p w:rsidR="00EB0CCB" w:rsidRPr="00073B3B" w:rsidRDefault="00073B3B" w:rsidP="00073B3B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On consideration of the </w:t>
            </w:r>
            <w:r w:rsidRPr="00073B3B">
              <w:rPr>
                <w:lang w:val="en-US"/>
              </w:rPr>
              <w:t>annual Accounting (Financial) Statements</w:t>
            </w:r>
            <w:r>
              <w:rPr>
                <w:lang w:val="en-US"/>
              </w:rPr>
              <w:t xml:space="preserve"> for 2019.</w:t>
            </w:r>
            <w:r w:rsidR="00EB0CCB" w:rsidRPr="00073B3B">
              <w:rPr>
                <w:lang w:val="en-US"/>
              </w:rPr>
              <w:t xml:space="preserve">  </w:t>
            </w:r>
          </w:p>
          <w:p w:rsidR="00073B3B" w:rsidRPr="00073B3B" w:rsidRDefault="00073B3B" w:rsidP="00073B3B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073B3B">
              <w:rPr>
                <w:lang w:val="en-US"/>
              </w:rPr>
              <w:t>ecommendation</w:t>
            </w:r>
            <w:r w:rsidR="00270AF3">
              <w:rPr>
                <w:lang w:val="en-US"/>
              </w:rPr>
              <w:t>s</w:t>
            </w:r>
            <w:r w:rsidRPr="00073B3B">
              <w:rPr>
                <w:lang w:val="en-US"/>
              </w:rPr>
              <w:t xml:space="preserve"> on the allocation of profit</w:t>
            </w:r>
            <w:r>
              <w:rPr>
                <w:lang w:val="en-US"/>
              </w:rPr>
              <w:t xml:space="preserve"> (loss)</w:t>
            </w:r>
            <w:r w:rsidRPr="00073B3B">
              <w:rPr>
                <w:lang w:val="en-US"/>
              </w:rPr>
              <w:t xml:space="preserve"> of the Company based on the results of 2019.</w:t>
            </w:r>
          </w:p>
          <w:p w:rsidR="00270AF3" w:rsidRPr="00270AF3" w:rsidRDefault="00270AF3" w:rsidP="00472C6D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Recommendations on the dividends amount</w:t>
            </w:r>
            <w:r w:rsidRPr="00270AF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on shares of the Company for 2019, </w:t>
            </w:r>
            <w:r w:rsidRPr="00270AF3">
              <w:rPr>
                <w:lang w:val="en-US"/>
              </w:rPr>
              <w:t xml:space="preserve">terms and conditions of </w:t>
            </w:r>
            <w:r>
              <w:rPr>
                <w:lang w:val="en-US"/>
              </w:rPr>
              <w:t xml:space="preserve">its </w:t>
            </w:r>
            <w:r w:rsidRPr="00270AF3">
              <w:rPr>
                <w:lang w:val="en-US"/>
              </w:rPr>
              <w:t>payment</w:t>
            </w:r>
            <w:r>
              <w:rPr>
                <w:lang w:val="en-US"/>
              </w:rPr>
              <w:t xml:space="preserve"> and </w:t>
            </w:r>
            <w:r w:rsidR="00472C6D">
              <w:rPr>
                <w:lang w:val="en-US"/>
              </w:rPr>
              <w:t xml:space="preserve">proposals for the Annual General Meeting of Shareholders concerning the date on which the persons </w:t>
            </w:r>
            <w:r w:rsidR="00472C6D" w:rsidRPr="00472C6D">
              <w:rPr>
                <w:lang w:val="en-US"/>
              </w:rPr>
              <w:t>who have the right to</w:t>
            </w:r>
            <w:r w:rsidR="00472C6D">
              <w:rPr>
                <w:lang w:val="en-US"/>
              </w:rPr>
              <w:t xml:space="preserve"> receive dividends</w:t>
            </w:r>
            <w:r w:rsidR="00505C58">
              <w:rPr>
                <w:lang w:val="en-US"/>
              </w:rPr>
              <w:t xml:space="preserve"> are determined</w:t>
            </w:r>
            <w:r w:rsidR="00472C6D">
              <w:rPr>
                <w:lang w:val="en-US"/>
              </w:rPr>
              <w:t xml:space="preserve">. </w:t>
            </w:r>
          </w:p>
          <w:p w:rsidR="00EB0CCB" w:rsidRPr="00D86FCD" w:rsidRDefault="00D86FCD" w:rsidP="00EB0CCB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Consideration of the candidacy of the auditor of the Company.</w:t>
            </w:r>
            <w:r w:rsidR="00EB0CCB" w:rsidRPr="00D86FCD">
              <w:rPr>
                <w:lang w:val="en-US"/>
              </w:rPr>
              <w:t xml:space="preserve"> </w:t>
            </w:r>
          </w:p>
          <w:p w:rsidR="00D86FCD" w:rsidRPr="00D86FCD" w:rsidRDefault="00D86FCD" w:rsidP="00D86FCD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For </w:t>
            </w:r>
            <w:r w:rsidRPr="00D86FCD">
              <w:rPr>
                <w:lang w:val="en-US"/>
              </w:rPr>
              <w:t xml:space="preserve">inclusion </w:t>
            </w:r>
            <w:r>
              <w:rPr>
                <w:lang w:val="en-US"/>
              </w:rPr>
              <w:t>of the candidates</w:t>
            </w:r>
            <w:r w:rsidRPr="00D86FCD">
              <w:rPr>
                <w:lang w:val="en-US"/>
              </w:rPr>
              <w:t xml:space="preserve"> in the voter list to elect the members</w:t>
            </w:r>
            <w:r>
              <w:rPr>
                <w:lang w:val="en-US"/>
              </w:rPr>
              <w:t xml:space="preserve"> of the Board of Directors of PJSC Kubanenergo</w:t>
            </w:r>
            <w:r w:rsidRPr="00D86FCD">
              <w:rPr>
                <w:lang w:val="en-US"/>
              </w:rPr>
              <w:t xml:space="preserve"> at the Annual General Meeting of Shareholders of </w:t>
            </w:r>
            <w:r>
              <w:rPr>
                <w:lang w:val="en-US"/>
              </w:rPr>
              <w:t>PJSC Kubanenergo.</w:t>
            </w:r>
          </w:p>
          <w:p w:rsidR="000339DA" w:rsidRPr="00924345" w:rsidRDefault="00924345" w:rsidP="00924345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On consideration of the draft amendments to the Regulations of the Company</w:t>
            </w:r>
            <w:r w:rsidRPr="00924345">
              <w:rPr>
                <w:lang w:val="en-US"/>
              </w:rPr>
              <w:t xml:space="preserve"> requiring appeal to the Ministry of Justice of the Russian Federation with application for a permit to include the word derived from the official name “the Russian Federation” or “Russia” to the new corporate name of the Company.</w:t>
            </w:r>
          </w:p>
          <w:p w:rsidR="003027ED" w:rsidRPr="003027ED" w:rsidRDefault="003027ED" w:rsidP="003027ED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On consideration of the project concerning </w:t>
            </w:r>
            <w:r w:rsidR="00710D40">
              <w:rPr>
                <w:lang w:val="en-US"/>
              </w:rPr>
              <w:t>Regulation</w:t>
            </w:r>
            <w:bookmarkStart w:id="0" w:name="_GoBack"/>
            <w:bookmarkEnd w:id="0"/>
            <w:r w:rsidRPr="003027ED">
              <w:rPr>
                <w:lang w:val="en-US"/>
              </w:rPr>
              <w:t xml:space="preserve"> on the Board of Directors of </w:t>
            </w:r>
            <w:r>
              <w:rPr>
                <w:lang w:val="en-US"/>
              </w:rPr>
              <w:t>the Company as amended.</w:t>
            </w:r>
          </w:p>
          <w:p w:rsidR="003027ED" w:rsidRPr="003027ED" w:rsidRDefault="003027ED" w:rsidP="006C6B41">
            <w:pPr>
              <w:pStyle w:val="a5"/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lang w:val="en-US"/>
              </w:rPr>
            </w:pPr>
            <w:r w:rsidRPr="003027ED">
              <w:rPr>
                <w:lang w:val="en-US"/>
              </w:rPr>
              <w:t>Approval</w:t>
            </w:r>
            <w:r>
              <w:rPr>
                <w:lang w:val="en-US"/>
              </w:rPr>
              <w:t xml:space="preserve"> </w:t>
            </w:r>
            <w:r w:rsidRPr="003027ED">
              <w:rPr>
                <w:lang w:val="en-US"/>
              </w:rPr>
              <w:t xml:space="preserve">of the form and text of the voting ballots at the Annual </w:t>
            </w:r>
            <w:r>
              <w:rPr>
                <w:lang w:val="en-US"/>
              </w:rPr>
              <w:t>General Meeting of Shareholders, and also</w:t>
            </w:r>
            <w:r w:rsidR="00BD078F">
              <w:rPr>
                <w:lang w:val="en-US"/>
              </w:rPr>
              <w:t xml:space="preserve"> formulations of decisions</w:t>
            </w:r>
            <w:r w:rsidRPr="003027ED">
              <w:rPr>
                <w:lang w:val="en-US"/>
              </w:rPr>
              <w:t xml:space="preserve"> on the items of the Agenda of the General Meeting of Shareholders</w:t>
            </w:r>
            <w:r w:rsidR="00AD29F9">
              <w:rPr>
                <w:lang w:val="en-US"/>
              </w:rPr>
              <w:t xml:space="preserve"> that have to be sent in e-form (</w:t>
            </w:r>
            <w:r w:rsidR="006C6B41" w:rsidRPr="006C6B41">
              <w:rPr>
                <w:lang w:val="en-US"/>
              </w:rPr>
              <w:t>in the form of electronic documents</w:t>
            </w:r>
            <w:r w:rsidR="00AD29F9">
              <w:rPr>
                <w:lang w:val="en-US"/>
              </w:rPr>
              <w:t>) by nominee shareholder recorded in the register of shareholders of the Company.</w:t>
            </w:r>
          </w:p>
          <w:p w:rsidR="006C6B41" w:rsidRPr="006C6B41" w:rsidRDefault="006C6B41" w:rsidP="00EB0CCB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Election of the Secretary of the Annual General Meeting of Shareholders of the Company.</w:t>
            </w:r>
          </w:p>
          <w:p w:rsidR="00CD2810" w:rsidRPr="00CD2810" w:rsidRDefault="00CD2810" w:rsidP="00CD2810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Approval of cost estimate related to the preparation and holding the </w:t>
            </w:r>
            <w:r w:rsidRPr="00CD2810">
              <w:rPr>
                <w:lang w:val="en-US"/>
              </w:rPr>
              <w:t>Annual General Meeting of Shareholders</w:t>
            </w:r>
            <w:r>
              <w:rPr>
                <w:lang w:val="en-US"/>
              </w:rPr>
              <w:t xml:space="preserve"> of the Company.</w:t>
            </w:r>
          </w:p>
          <w:p w:rsidR="00CD2810" w:rsidRPr="00CD2810" w:rsidRDefault="00CD2810" w:rsidP="00EB0CCB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lang w:val="en-US"/>
              </w:rPr>
            </w:pPr>
            <w:r w:rsidRPr="00CD2810">
              <w:rPr>
                <w:lang w:val="en-US"/>
              </w:rPr>
              <w:t xml:space="preserve">Approval of the </w:t>
            </w:r>
            <w:r>
              <w:rPr>
                <w:lang w:val="en-US"/>
              </w:rPr>
              <w:t xml:space="preserve">report on </w:t>
            </w:r>
            <w:r w:rsidR="002D22D4">
              <w:rPr>
                <w:lang w:val="en-US"/>
              </w:rPr>
              <w:t xml:space="preserve">interested parties’ </w:t>
            </w:r>
            <w:r>
              <w:rPr>
                <w:lang w:val="en-US"/>
              </w:rPr>
              <w:t>transactions made by the Company in 2019</w:t>
            </w:r>
            <w:r w:rsidR="002D22D4">
              <w:rPr>
                <w:lang w:val="en-US"/>
              </w:rPr>
              <w:t>.</w:t>
            </w:r>
          </w:p>
          <w:p w:rsidR="007E12BB" w:rsidRPr="00924345" w:rsidRDefault="00924345" w:rsidP="007E12BB">
            <w:pPr>
              <w:tabs>
                <w:tab w:val="left" w:pos="317"/>
              </w:tabs>
              <w:ind w:left="720" w:hanging="545"/>
              <w:jc w:val="both"/>
              <w:rPr>
                <w:lang w:val="en-US"/>
              </w:rPr>
            </w:pPr>
            <w:r w:rsidRPr="00924345">
              <w:t>Identification characteristics of securities</w:t>
            </w:r>
            <w:r w:rsidR="007E12BB" w:rsidRPr="00924345">
              <w:rPr>
                <w:lang w:val="en-US"/>
              </w:rPr>
              <w:t>:</w:t>
            </w:r>
          </w:p>
          <w:p w:rsidR="009D22E2" w:rsidRPr="00924345" w:rsidRDefault="00924345" w:rsidP="00924345">
            <w:pPr>
              <w:tabs>
                <w:tab w:val="left" w:pos="317"/>
              </w:tabs>
              <w:ind w:left="175"/>
              <w:jc w:val="both"/>
              <w:rPr>
                <w:lang w:val="en-US"/>
              </w:rPr>
            </w:pPr>
            <w:proofErr w:type="gramStart"/>
            <w:r w:rsidRPr="00924345">
              <w:rPr>
                <w:lang w:val="en-US"/>
              </w:rPr>
              <w:t>type</w:t>
            </w:r>
            <w:proofErr w:type="gramEnd"/>
            <w:r w:rsidRPr="00924345">
              <w:rPr>
                <w:lang w:val="en-US"/>
              </w:rPr>
              <w:t>, category: ordinary registered share, state registration number of the issue (additional issue) of securities and state registration date (ID number of the issue (additional issue) of securities and date of assignment): 1-02-00063-A of July 08, 2003 International Securities Identification Number (ISIN)(if applicable): RU0009046767.</w:t>
            </w:r>
          </w:p>
        </w:tc>
      </w:tr>
      <w:tr w:rsidR="00396AAF" w:rsidRPr="002E07A8" w:rsidTr="00D11359">
        <w:tc>
          <w:tcPr>
            <w:tcW w:w="10348" w:type="dxa"/>
            <w:gridSpan w:val="2"/>
          </w:tcPr>
          <w:p w:rsidR="00396AAF" w:rsidRPr="00073B3B" w:rsidRDefault="00396AAF" w:rsidP="00073B3B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73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396AAF" w:rsidRPr="00073B3B" w:rsidTr="00D11359">
        <w:tc>
          <w:tcPr>
            <w:tcW w:w="10348" w:type="dxa"/>
            <w:gridSpan w:val="2"/>
          </w:tcPr>
          <w:p w:rsidR="00073B3B" w:rsidRPr="00073B3B" w:rsidRDefault="00695C20" w:rsidP="00073B3B">
            <w:pPr>
              <w:rPr>
                <w:rFonts w:eastAsia="Calibri"/>
                <w:lang w:val="en-US"/>
              </w:rPr>
            </w:pPr>
            <w:r w:rsidRPr="00073B3B">
              <w:rPr>
                <w:rFonts w:eastAsia="Calibri"/>
                <w:lang w:val="en-US"/>
              </w:rPr>
              <w:t xml:space="preserve">3.1. </w:t>
            </w:r>
            <w:r w:rsidR="00073B3B" w:rsidRPr="00073B3B">
              <w:rPr>
                <w:rFonts w:eastAsia="Calibri"/>
                <w:lang w:val="en-US"/>
              </w:rPr>
              <w:t xml:space="preserve">Head of Corporate Management </w:t>
            </w:r>
          </w:p>
          <w:p w:rsidR="00CF073F" w:rsidRPr="00073B3B" w:rsidRDefault="00073B3B" w:rsidP="00073B3B">
            <w:pPr>
              <w:rPr>
                <w:rFonts w:eastAsia="Calibri"/>
                <w:lang w:val="en-US"/>
              </w:rPr>
            </w:pPr>
            <w:r w:rsidRPr="00073B3B">
              <w:rPr>
                <w:rFonts w:eastAsia="Calibri"/>
                <w:lang w:val="en-US"/>
              </w:rPr>
              <w:t xml:space="preserve">and Shareholders’ Arrangements Department                   </w:t>
            </w:r>
            <w:r w:rsidR="00CF073F" w:rsidRPr="00073B3B">
              <w:rPr>
                <w:rFonts w:eastAsia="Calibri"/>
                <w:lang w:val="en-US"/>
              </w:rPr>
              <w:t xml:space="preserve">______________________ </w:t>
            </w:r>
            <w:r w:rsidR="00CF073F" w:rsidRPr="002E07A8">
              <w:rPr>
                <w:rFonts w:eastAsia="Calibri"/>
              </w:rPr>
              <w:t>Е</w:t>
            </w:r>
            <w:r w:rsidR="00CF073F" w:rsidRPr="00073B3B">
              <w:rPr>
                <w:rFonts w:eastAsia="Calibri"/>
                <w:lang w:val="en-US"/>
              </w:rPr>
              <w:t>.</w:t>
            </w:r>
            <w:r w:rsidR="00CF073F" w:rsidRPr="002E07A8">
              <w:rPr>
                <w:rFonts w:eastAsia="Calibri"/>
              </w:rPr>
              <w:t>Е</w:t>
            </w:r>
            <w:r w:rsidR="00CF073F" w:rsidRPr="00073B3B">
              <w:rPr>
                <w:rFonts w:eastAsia="Calibri"/>
                <w:lang w:val="en-US"/>
              </w:rPr>
              <w:t xml:space="preserve">. </w:t>
            </w:r>
            <w:r>
              <w:rPr>
                <w:rFonts w:eastAsia="Calibri"/>
                <w:lang w:val="en-US"/>
              </w:rPr>
              <w:t>Didenko</w:t>
            </w:r>
          </w:p>
          <w:p w:rsidR="00CF073F" w:rsidRPr="00073B3B" w:rsidRDefault="00CF073F" w:rsidP="00CF073F">
            <w:pPr>
              <w:rPr>
                <w:rFonts w:eastAsia="Calibri"/>
                <w:lang w:val="en-US"/>
              </w:rPr>
            </w:pPr>
            <w:r w:rsidRPr="00073B3B">
              <w:rPr>
                <w:rFonts w:eastAsia="Calibri"/>
                <w:lang w:val="en-US"/>
              </w:rPr>
              <w:t>(</w:t>
            </w:r>
            <w:r w:rsidR="00073B3B">
              <w:rPr>
                <w:rFonts w:eastAsia="Calibri"/>
                <w:lang w:val="en-US"/>
              </w:rPr>
              <w:t>per</w:t>
            </w:r>
            <w:r w:rsidR="00073B3B" w:rsidRPr="00073B3B">
              <w:rPr>
                <w:rFonts w:eastAsia="Calibri"/>
                <w:lang w:val="en-US"/>
              </w:rPr>
              <w:t xml:space="preserve"> </w:t>
            </w:r>
            <w:r w:rsidR="00073B3B">
              <w:rPr>
                <w:rFonts w:eastAsia="Calibri"/>
                <w:lang w:val="en-US"/>
              </w:rPr>
              <w:t>procuration</w:t>
            </w:r>
            <w:r w:rsidRPr="00073B3B">
              <w:rPr>
                <w:rFonts w:eastAsia="Calibri"/>
                <w:lang w:val="en-US"/>
              </w:rPr>
              <w:t xml:space="preserve"> </w:t>
            </w:r>
            <w:r w:rsidR="00073B3B">
              <w:rPr>
                <w:rFonts w:eastAsia="Calibri"/>
                <w:lang w:val="en-US"/>
              </w:rPr>
              <w:t xml:space="preserve">No. </w:t>
            </w:r>
            <w:r w:rsidRPr="00073B3B">
              <w:rPr>
                <w:rFonts w:eastAsia="Calibri"/>
                <w:lang w:val="en-US"/>
              </w:rPr>
              <w:t>23/256-</w:t>
            </w:r>
            <w:r w:rsidRPr="002E07A8">
              <w:rPr>
                <w:rFonts w:eastAsia="Calibri"/>
              </w:rPr>
              <w:t>н</w:t>
            </w:r>
            <w:r w:rsidRPr="00073B3B">
              <w:rPr>
                <w:rFonts w:eastAsia="Calibri"/>
                <w:lang w:val="en-US"/>
              </w:rPr>
              <w:t xml:space="preserve">/23-2020-4-130 </w:t>
            </w:r>
            <w:r w:rsidR="00073B3B">
              <w:rPr>
                <w:rFonts w:eastAsia="Calibri"/>
                <w:lang w:val="en-US"/>
              </w:rPr>
              <w:t>of</w:t>
            </w:r>
            <w:r w:rsidRPr="00073B3B">
              <w:rPr>
                <w:rFonts w:eastAsia="Calibri"/>
                <w:lang w:val="en-US"/>
              </w:rPr>
              <w:t xml:space="preserve"> </w:t>
            </w:r>
            <w:r w:rsidR="00073B3B">
              <w:rPr>
                <w:rFonts w:eastAsia="Calibri"/>
                <w:lang w:val="en-US"/>
              </w:rPr>
              <w:t xml:space="preserve">January </w:t>
            </w:r>
            <w:r w:rsidRPr="00073B3B">
              <w:rPr>
                <w:rFonts w:eastAsia="Calibri"/>
                <w:lang w:val="en-US"/>
              </w:rPr>
              <w:t>23</w:t>
            </w:r>
            <w:r w:rsidR="00073B3B">
              <w:rPr>
                <w:rFonts w:eastAsia="Calibri"/>
                <w:lang w:val="en-US"/>
              </w:rPr>
              <w:t xml:space="preserve">, 2020)      </w:t>
            </w:r>
            <w:r w:rsidRPr="00073B3B">
              <w:rPr>
                <w:rFonts w:eastAsia="Calibri"/>
                <w:lang w:val="en-US"/>
              </w:rPr>
              <w:t>(</w:t>
            </w:r>
            <w:r w:rsidR="00073B3B">
              <w:rPr>
                <w:rFonts w:eastAsia="Calibri"/>
                <w:lang w:val="en-US"/>
              </w:rPr>
              <w:t>signature</w:t>
            </w:r>
            <w:r w:rsidRPr="00073B3B">
              <w:rPr>
                <w:rFonts w:eastAsia="Calibri"/>
                <w:lang w:val="en-US"/>
              </w:rPr>
              <w:t xml:space="preserve">) </w:t>
            </w:r>
          </w:p>
          <w:p w:rsidR="00695C20" w:rsidRPr="00073B3B" w:rsidRDefault="00695C20" w:rsidP="00695C20">
            <w:pPr>
              <w:rPr>
                <w:rFonts w:eastAsia="Calibri"/>
                <w:lang w:val="en-US"/>
              </w:rPr>
            </w:pPr>
            <w:r w:rsidRPr="00073B3B">
              <w:rPr>
                <w:rFonts w:eastAsia="Calibri"/>
                <w:lang w:val="en-US"/>
              </w:rPr>
              <w:t xml:space="preserve">                 </w:t>
            </w:r>
          </w:p>
          <w:p w:rsidR="00396AAF" w:rsidRPr="00073B3B" w:rsidRDefault="00695C20" w:rsidP="00073B3B">
            <w:pPr>
              <w:pStyle w:val="a3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B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3.2. </w:t>
            </w:r>
            <w:r w:rsidR="00073B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</w:t>
            </w:r>
            <w:r w:rsidRPr="00073B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="009D0510" w:rsidRPr="00073B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</w:t>
            </w:r>
            <w:r w:rsidR="00975FB2" w:rsidRPr="00073B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073B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April</w:t>
            </w:r>
            <w:r w:rsidRPr="00073B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2020 </w:t>
            </w:r>
            <w:r w:rsidR="00073B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                    stamp here</w:t>
            </w:r>
          </w:p>
        </w:tc>
      </w:tr>
    </w:tbl>
    <w:p w:rsidR="00D0175F" w:rsidRPr="002E07A8" w:rsidRDefault="00D0175F" w:rsidP="00D0175F">
      <w:pPr>
        <w:ind w:left="-284"/>
        <w:jc w:val="center"/>
        <w:rPr>
          <w:b/>
          <w:bCs/>
          <w:color w:val="000000"/>
        </w:rPr>
      </w:pPr>
      <w:r w:rsidRPr="002E07A8">
        <w:rPr>
          <w:b/>
          <w:bCs/>
          <w:color w:val="000000"/>
        </w:rPr>
        <w:lastRenderedPageBreak/>
        <w:t xml:space="preserve">Сообщение о существенном факте </w:t>
      </w:r>
      <w:r w:rsidRPr="002E07A8">
        <w:rPr>
          <w:b/>
          <w:bCs/>
          <w:color w:val="000000"/>
        </w:rPr>
        <w:br/>
        <w:t>«О проведении заседания совета директоров эмитента и его повестке дня»</w:t>
      </w:r>
    </w:p>
    <w:p w:rsidR="00D0175F" w:rsidRPr="002E07A8" w:rsidRDefault="00D0175F" w:rsidP="00D0175F">
      <w:pPr>
        <w:jc w:val="center"/>
        <w:rPr>
          <w:b/>
          <w:bCs/>
          <w:color w:val="000000"/>
        </w:rPr>
      </w:pPr>
      <w:r w:rsidRPr="002E07A8">
        <w:rPr>
          <w:b/>
          <w:bCs/>
          <w:color w:val="000000"/>
        </w:rPr>
        <w:t>(раскрытие инсайдерской информации)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D0175F" w:rsidRPr="002E07A8" w:rsidTr="00D60212">
        <w:tc>
          <w:tcPr>
            <w:tcW w:w="10348" w:type="dxa"/>
            <w:gridSpan w:val="2"/>
          </w:tcPr>
          <w:p w:rsidR="00D0175F" w:rsidRPr="002E07A8" w:rsidRDefault="00D0175F" w:rsidP="00D6021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tr w:rsidR="00D0175F" w:rsidRPr="002E07A8" w:rsidTr="00D60212">
        <w:tc>
          <w:tcPr>
            <w:tcW w:w="4395" w:type="dxa"/>
          </w:tcPr>
          <w:p w:rsidR="00D0175F" w:rsidRPr="002E07A8" w:rsidRDefault="00D0175F" w:rsidP="00D602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1.1  Полное фирменное наименование эмитента</w:t>
            </w:r>
          </w:p>
        </w:tc>
        <w:tc>
          <w:tcPr>
            <w:tcW w:w="5953" w:type="dxa"/>
          </w:tcPr>
          <w:p w:rsidR="00D0175F" w:rsidRPr="002E07A8" w:rsidRDefault="00D0175F" w:rsidP="00D602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Публичное акционерное общество энергетики и электрификации Кубани</w:t>
            </w:r>
          </w:p>
        </w:tc>
      </w:tr>
      <w:tr w:rsidR="00D0175F" w:rsidRPr="002E07A8" w:rsidTr="00D60212">
        <w:tc>
          <w:tcPr>
            <w:tcW w:w="4395" w:type="dxa"/>
          </w:tcPr>
          <w:p w:rsidR="00D0175F" w:rsidRPr="002E07A8" w:rsidRDefault="00D0175F" w:rsidP="00D602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1.2. Сокращенное фирменное название эмитента</w:t>
            </w:r>
          </w:p>
        </w:tc>
        <w:tc>
          <w:tcPr>
            <w:tcW w:w="5953" w:type="dxa"/>
          </w:tcPr>
          <w:p w:rsidR="00D0175F" w:rsidRPr="002E07A8" w:rsidRDefault="00D0175F" w:rsidP="00D602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ПАО «Кубаньэнерго»</w:t>
            </w:r>
          </w:p>
        </w:tc>
      </w:tr>
      <w:tr w:rsidR="00D0175F" w:rsidRPr="002E07A8" w:rsidTr="00D60212">
        <w:tc>
          <w:tcPr>
            <w:tcW w:w="4395" w:type="dxa"/>
          </w:tcPr>
          <w:p w:rsidR="00D0175F" w:rsidRPr="002E07A8" w:rsidRDefault="00D0175F" w:rsidP="00D602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953" w:type="dxa"/>
          </w:tcPr>
          <w:p w:rsidR="00D0175F" w:rsidRPr="002E07A8" w:rsidRDefault="00D0175F" w:rsidP="00D60212">
            <w:pPr>
              <w:jc w:val="both"/>
            </w:pPr>
            <w:r w:rsidRPr="002E07A8">
              <w:rPr>
                <w:i/>
              </w:rPr>
              <w:t>Российская Федерация, г. Краснодар</w:t>
            </w:r>
          </w:p>
          <w:p w:rsidR="00D0175F" w:rsidRPr="002E07A8" w:rsidRDefault="00D0175F" w:rsidP="00D60212">
            <w:pPr>
              <w:jc w:val="both"/>
            </w:pPr>
          </w:p>
        </w:tc>
      </w:tr>
      <w:tr w:rsidR="00D0175F" w:rsidRPr="002E07A8" w:rsidTr="00D60212">
        <w:tc>
          <w:tcPr>
            <w:tcW w:w="4395" w:type="dxa"/>
          </w:tcPr>
          <w:p w:rsidR="00D0175F" w:rsidRPr="002E07A8" w:rsidRDefault="00D0175F" w:rsidP="00D602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1.4. ОГРН эмитента</w:t>
            </w:r>
          </w:p>
        </w:tc>
        <w:tc>
          <w:tcPr>
            <w:tcW w:w="5953" w:type="dxa"/>
          </w:tcPr>
          <w:p w:rsidR="00D0175F" w:rsidRPr="002E07A8" w:rsidRDefault="00D0175F" w:rsidP="00D602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1022301427268</w:t>
            </w:r>
          </w:p>
        </w:tc>
      </w:tr>
      <w:tr w:rsidR="00D0175F" w:rsidRPr="002E07A8" w:rsidTr="00D60212">
        <w:tc>
          <w:tcPr>
            <w:tcW w:w="4395" w:type="dxa"/>
          </w:tcPr>
          <w:p w:rsidR="00D0175F" w:rsidRPr="002E07A8" w:rsidRDefault="00D0175F" w:rsidP="00D602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1.5. ИНН эмитента</w:t>
            </w:r>
          </w:p>
        </w:tc>
        <w:tc>
          <w:tcPr>
            <w:tcW w:w="5953" w:type="dxa"/>
          </w:tcPr>
          <w:p w:rsidR="00D0175F" w:rsidRPr="002E07A8" w:rsidRDefault="00D0175F" w:rsidP="00D602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2309001660</w:t>
            </w:r>
          </w:p>
        </w:tc>
      </w:tr>
      <w:tr w:rsidR="00D0175F" w:rsidRPr="002E07A8" w:rsidTr="00D60212">
        <w:tc>
          <w:tcPr>
            <w:tcW w:w="4395" w:type="dxa"/>
          </w:tcPr>
          <w:p w:rsidR="00D0175F" w:rsidRPr="002E07A8" w:rsidRDefault="00D0175F" w:rsidP="00D602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953" w:type="dxa"/>
          </w:tcPr>
          <w:p w:rsidR="00D0175F" w:rsidRPr="002E07A8" w:rsidRDefault="00D0175F" w:rsidP="00D602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00063-А</w:t>
            </w:r>
          </w:p>
        </w:tc>
      </w:tr>
      <w:tr w:rsidR="00D0175F" w:rsidRPr="002E07A8" w:rsidTr="00D60212">
        <w:tc>
          <w:tcPr>
            <w:tcW w:w="4395" w:type="dxa"/>
          </w:tcPr>
          <w:p w:rsidR="00D0175F" w:rsidRPr="002E07A8" w:rsidRDefault="00D0175F" w:rsidP="00D602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953" w:type="dxa"/>
          </w:tcPr>
          <w:p w:rsidR="00D0175F" w:rsidRPr="002E07A8" w:rsidRDefault="00D0175F" w:rsidP="00D6021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</w:t>
            </w: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://</w:t>
            </w:r>
            <w:hyperlink r:id="rId7" w:history="1"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www</w:t>
              </w:r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kubanenergo</w:t>
              </w:r>
              <w:proofErr w:type="spellEnd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175F" w:rsidRPr="002E07A8" w:rsidRDefault="00D0175F" w:rsidP="00D6021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http://www.e-isclosure.ru/portal/company.aspx?id=2827</w:t>
            </w:r>
          </w:p>
          <w:p w:rsidR="00D0175F" w:rsidRPr="002E07A8" w:rsidRDefault="00D0175F" w:rsidP="00D6021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0175F" w:rsidRPr="002E07A8" w:rsidTr="00D60212">
        <w:tc>
          <w:tcPr>
            <w:tcW w:w="4395" w:type="dxa"/>
          </w:tcPr>
          <w:p w:rsidR="00D0175F" w:rsidRPr="002E07A8" w:rsidRDefault="00D0175F" w:rsidP="00D60212">
            <w:pPr>
              <w:jc w:val="both"/>
            </w:pPr>
            <w:r w:rsidRPr="002E07A8"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953" w:type="dxa"/>
          </w:tcPr>
          <w:p w:rsidR="00D0175F" w:rsidRPr="002E07A8" w:rsidRDefault="00D0175F" w:rsidP="00D60212">
            <w:pPr>
              <w:jc w:val="both"/>
            </w:pPr>
            <w:r>
              <w:t>21</w:t>
            </w:r>
            <w:r w:rsidRPr="002E07A8">
              <w:t>.0</w:t>
            </w:r>
            <w:r>
              <w:t>4</w:t>
            </w:r>
            <w:r w:rsidRPr="002E07A8">
              <w:t>.2020</w:t>
            </w:r>
          </w:p>
        </w:tc>
      </w:tr>
      <w:tr w:rsidR="00D0175F" w:rsidRPr="002E07A8" w:rsidTr="00D60212">
        <w:tc>
          <w:tcPr>
            <w:tcW w:w="10348" w:type="dxa"/>
            <w:gridSpan w:val="2"/>
          </w:tcPr>
          <w:p w:rsidR="00D0175F" w:rsidRPr="002E07A8" w:rsidRDefault="00D0175F" w:rsidP="00D60212">
            <w:pPr>
              <w:jc w:val="center"/>
            </w:pPr>
            <w:r w:rsidRPr="002E07A8">
              <w:t>2. Содержание сообщения</w:t>
            </w:r>
          </w:p>
        </w:tc>
      </w:tr>
      <w:tr w:rsidR="00D0175F" w:rsidRPr="002E07A8" w:rsidTr="00D60212">
        <w:tc>
          <w:tcPr>
            <w:tcW w:w="10348" w:type="dxa"/>
            <w:gridSpan w:val="2"/>
          </w:tcPr>
          <w:p w:rsidR="00D0175F" w:rsidRPr="002E07A8" w:rsidRDefault="00D0175F" w:rsidP="00D60212">
            <w:pPr>
              <w:jc w:val="both"/>
            </w:pPr>
            <w:r w:rsidRPr="002E07A8">
              <w:t xml:space="preserve">2.1. </w:t>
            </w:r>
            <w:r w:rsidRPr="002E07A8">
              <w:rPr>
                <w:color w:val="000000"/>
              </w:rPr>
              <w:t xml:space="preserve">Дата принятия председателем совета директоров эмитента решения о проведении    заседания совета директоров эмитента </w:t>
            </w:r>
            <w:r w:rsidRPr="002E07A8">
              <w:rPr>
                <w:b/>
                <w:i/>
                <w:color w:val="000000"/>
              </w:rPr>
              <w:t xml:space="preserve">–  </w:t>
            </w:r>
            <w:r>
              <w:rPr>
                <w:b/>
                <w:i/>
                <w:color w:val="000000"/>
              </w:rPr>
              <w:t>2</w:t>
            </w:r>
            <w:r w:rsidRPr="002E07A8">
              <w:rPr>
                <w:b/>
                <w:i/>
                <w:color w:val="000000"/>
              </w:rPr>
              <w:t>1.0</w:t>
            </w:r>
            <w:r>
              <w:rPr>
                <w:b/>
                <w:i/>
                <w:color w:val="000000"/>
              </w:rPr>
              <w:t>4</w:t>
            </w:r>
            <w:r w:rsidRPr="002E07A8">
              <w:rPr>
                <w:b/>
                <w:i/>
                <w:color w:val="000000"/>
              </w:rPr>
              <w:t>.2020</w:t>
            </w:r>
            <w:r w:rsidRPr="002E07A8">
              <w:rPr>
                <w:b/>
                <w:i/>
              </w:rPr>
              <w:t xml:space="preserve"> года.</w:t>
            </w:r>
          </w:p>
        </w:tc>
      </w:tr>
      <w:tr w:rsidR="00D0175F" w:rsidRPr="002E07A8" w:rsidTr="00D60212">
        <w:tc>
          <w:tcPr>
            <w:tcW w:w="10348" w:type="dxa"/>
            <w:gridSpan w:val="2"/>
          </w:tcPr>
          <w:p w:rsidR="00D0175F" w:rsidRPr="002E07A8" w:rsidRDefault="00D0175F" w:rsidP="00D60212">
            <w:pPr>
              <w:jc w:val="both"/>
            </w:pPr>
            <w:r w:rsidRPr="002E07A8">
              <w:t>2.2. Д</w:t>
            </w:r>
            <w:r w:rsidRPr="002E07A8">
              <w:rPr>
                <w:color w:val="000000"/>
              </w:rPr>
              <w:t>ата проведения заседания совета директоров эмитента –</w:t>
            </w:r>
            <w:r w:rsidRPr="009D0510">
              <w:rPr>
                <w:b/>
                <w:i/>
                <w:color w:val="000000"/>
              </w:rPr>
              <w:t xml:space="preserve"> 2</w:t>
            </w:r>
            <w:r>
              <w:rPr>
                <w:b/>
                <w:i/>
                <w:color w:val="000000"/>
              </w:rPr>
              <w:t>8</w:t>
            </w:r>
            <w:r>
              <w:rPr>
                <w:color w:val="000000"/>
              </w:rPr>
              <w:t xml:space="preserve"> </w:t>
            </w:r>
            <w:r w:rsidRPr="002E07A8">
              <w:rPr>
                <w:b/>
                <w:i/>
                <w:color w:val="000000"/>
              </w:rPr>
              <w:t>а</w:t>
            </w:r>
            <w:r>
              <w:rPr>
                <w:b/>
                <w:i/>
                <w:color w:val="000000"/>
              </w:rPr>
              <w:t>преля</w:t>
            </w:r>
            <w:r w:rsidRPr="002E07A8">
              <w:rPr>
                <w:b/>
                <w:i/>
                <w:color w:val="000000"/>
              </w:rPr>
              <w:t xml:space="preserve"> 2020</w:t>
            </w:r>
            <w:r w:rsidRPr="002E07A8">
              <w:rPr>
                <w:b/>
                <w:i/>
              </w:rPr>
              <w:t xml:space="preserve"> года.</w:t>
            </w:r>
          </w:p>
        </w:tc>
      </w:tr>
      <w:tr w:rsidR="00D0175F" w:rsidRPr="002E07A8" w:rsidTr="00D60212">
        <w:trPr>
          <w:trHeight w:val="904"/>
        </w:trPr>
        <w:tc>
          <w:tcPr>
            <w:tcW w:w="10348" w:type="dxa"/>
            <w:gridSpan w:val="2"/>
          </w:tcPr>
          <w:p w:rsidR="00D0175F" w:rsidRPr="002E07A8" w:rsidRDefault="00D0175F" w:rsidP="00D60212">
            <w:pPr>
              <w:jc w:val="both"/>
            </w:pPr>
            <w:r w:rsidRPr="002E07A8">
              <w:t xml:space="preserve">2.3. Повестка </w:t>
            </w:r>
            <w:proofErr w:type="gramStart"/>
            <w:r w:rsidRPr="002E07A8">
              <w:t>дня заседания совета директоров эмитента</w:t>
            </w:r>
            <w:proofErr w:type="gramEnd"/>
            <w:r w:rsidRPr="002E07A8">
              <w:t>:</w:t>
            </w:r>
          </w:p>
          <w:p w:rsidR="00D0175F" w:rsidRDefault="00D0175F" w:rsidP="00D0175F">
            <w:pPr>
              <w:numPr>
                <w:ilvl w:val="0"/>
                <w:numId w:val="46"/>
              </w:numPr>
              <w:tabs>
                <w:tab w:val="left" w:pos="317"/>
              </w:tabs>
              <w:jc w:val="both"/>
            </w:pPr>
            <w:r>
              <w:t>О предварительном утверждении годового отчета Общества за 2019 год.</w:t>
            </w:r>
          </w:p>
          <w:p w:rsidR="00D0175F" w:rsidRDefault="00D0175F" w:rsidP="00D0175F">
            <w:pPr>
              <w:numPr>
                <w:ilvl w:val="0"/>
                <w:numId w:val="46"/>
              </w:numPr>
              <w:tabs>
                <w:tab w:val="left" w:pos="317"/>
              </w:tabs>
              <w:jc w:val="both"/>
            </w:pPr>
            <w:r>
              <w:t xml:space="preserve">О рассмотрении годовой бухгалтерской (финансовой) отчетности за 2019 год.   </w:t>
            </w:r>
          </w:p>
          <w:p w:rsidR="00D0175F" w:rsidRDefault="00D0175F" w:rsidP="00D0175F">
            <w:pPr>
              <w:numPr>
                <w:ilvl w:val="0"/>
                <w:numId w:val="46"/>
              </w:numPr>
              <w:tabs>
                <w:tab w:val="left" w:pos="317"/>
              </w:tabs>
              <w:jc w:val="both"/>
            </w:pPr>
            <w:r>
              <w:t>О рекомендациях по распределению прибыли (убытков) Общества по результатам  2019 года.</w:t>
            </w:r>
          </w:p>
          <w:p w:rsidR="00D0175F" w:rsidRDefault="00D0175F" w:rsidP="00D0175F">
            <w:pPr>
              <w:numPr>
                <w:ilvl w:val="0"/>
                <w:numId w:val="46"/>
              </w:numPr>
              <w:tabs>
                <w:tab w:val="left" w:pos="317"/>
              </w:tabs>
              <w:jc w:val="both"/>
            </w:pPr>
            <w:r>
              <w:t>О рекомендациях по размеру дивидендов по акциям Общества за 2019 год, порядку их выплаты и о предложениях годовому Общему собранию акционеров по определению даты, на которую определяются лица, имеющие право на получение дивидендов.</w:t>
            </w:r>
          </w:p>
          <w:p w:rsidR="00D0175F" w:rsidRDefault="00D0175F" w:rsidP="00D0175F">
            <w:pPr>
              <w:numPr>
                <w:ilvl w:val="0"/>
                <w:numId w:val="46"/>
              </w:numPr>
              <w:tabs>
                <w:tab w:val="left" w:pos="317"/>
              </w:tabs>
              <w:jc w:val="both"/>
            </w:pPr>
            <w:r>
              <w:t>О рассмотрении кандидатуры аудитора Общества.</w:t>
            </w:r>
          </w:p>
          <w:p w:rsidR="00D0175F" w:rsidRDefault="00D0175F" w:rsidP="00D0175F">
            <w:pPr>
              <w:numPr>
                <w:ilvl w:val="0"/>
                <w:numId w:val="46"/>
              </w:numPr>
              <w:tabs>
                <w:tab w:val="left" w:pos="317"/>
              </w:tabs>
              <w:jc w:val="both"/>
            </w:pPr>
            <w:r>
              <w:t>О включении кандидатов в список кандидатур для голосования по выборам Совета директоров ПАО «Кубаньэнерго»  на годовом Общем собрании акционеров ПАО «Кубаньэнерго».</w:t>
            </w:r>
          </w:p>
          <w:p w:rsidR="00D0175F" w:rsidRDefault="00D0175F" w:rsidP="00D0175F">
            <w:pPr>
              <w:numPr>
                <w:ilvl w:val="0"/>
                <w:numId w:val="46"/>
              </w:numPr>
              <w:tabs>
                <w:tab w:val="left" w:pos="317"/>
              </w:tabs>
              <w:jc w:val="both"/>
            </w:pPr>
            <w:r>
              <w:t>О рассмотрении проекта изменений в Устав Общества, требующих обращения в Министерство юстиции Российской Федерации с заявлением о выдаче разрешения на включение в новое фирменное наименование Общества слова, производного от официального наименования «Российская Федерация» или «Россия».</w:t>
            </w:r>
          </w:p>
          <w:p w:rsidR="00D0175F" w:rsidRDefault="00D0175F" w:rsidP="00D0175F">
            <w:pPr>
              <w:numPr>
                <w:ilvl w:val="0"/>
                <w:numId w:val="46"/>
              </w:numPr>
              <w:tabs>
                <w:tab w:val="left" w:pos="317"/>
              </w:tabs>
              <w:jc w:val="both"/>
            </w:pPr>
            <w:r>
              <w:t>О рассмотрении проекта Положения о Совете директоров Общества в новой редакции.</w:t>
            </w:r>
          </w:p>
          <w:p w:rsidR="00D0175F" w:rsidRDefault="00D0175F" w:rsidP="00D0175F">
            <w:pPr>
              <w:numPr>
                <w:ilvl w:val="0"/>
                <w:numId w:val="46"/>
              </w:numPr>
              <w:tabs>
                <w:tab w:val="left" w:pos="317"/>
              </w:tabs>
              <w:jc w:val="both"/>
            </w:pPr>
            <w:r>
              <w:t>Об утверждении формы и текста бюллетеней для голосования на годовом Общем собрании акционеров, а также формулировок решений по вопросам повестки дня годового Общего собрания акционеров, которые должны направляться в электронной форме (в форме электронных документов) номинальным держателям акций, зарегистрированным в реестре акционеров Общества.</w:t>
            </w:r>
          </w:p>
          <w:p w:rsidR="00D0175F" w:rsidRDefault="00D0175F" w:rsidP="00D0175F">
            <w:pPr>
              <w:numPr>
                <w:ilvl w:val="0"/>
                <w:numId w:val="46"/>
              </w:numPr>
              <w:tabs>
                <w:tab w:val="left" w:pos="317"/>
              </w:tabs>
              <w:jc w:val="both"/>
            </w:pPr>
            <w:r>
              <w:t>Об избрании секретаря годового Общего собрания акционеров Общества.</w:t>
            </w:r>
          </w:p>
          <w:p w:rsidR="00D0175F" w:rsidRDefault="00D0175F" w:rsidP="00D0175F">
            <w:pPr>
              <w:numPr>
                <w:ilvl w:val="0"/>
                <w:numId w:val="46"/>
              </w:numPr>
              <w:tabs>
                <w:tab w:val="left" w:pos="317"/>
              </w:tabs>
              <w:jc w:val="both"/>
            </w:pPr>
            <w:r>
              <w:t>Об утверждении сметы затрат, связанных с подготовкой и проведением годового Общего собрания акционеров Общества.</w:t>
            </w:r>
          </w:p>
          <w:p w:rsidR="00D0175F" w:rsidRPr="009D0510" w:rsidRDefault="00D0175F" w:rsidP="00D0175F">
            <w:pPr>
              <w:numPr>
                <w:ilvl w:val="0"/>
                <w:numId w:val="46"/>
              </w:numPr>
              <w:tabs>
                <w:tab w:val="left" w:pos="317"/>
              </w:tabs>
              <w:jc w:val="both"/>
              <w:rPr>
                <w:u w:val="single"/>
              </w:rPr>
            </w:pPr>
            <w:r>
              <w:t>Об утверждении отчета о заключенных Обществом в 2019 году сделках, в совершении которых имеется заинтересованность</w:t>
            </w:r>
            <w:proofErr w:type="gramStart"/>
            <w:r>
              <w:t>.</w:t>
            </w:r>
            <w:r w:rsidRPr="009D0510">
              <w:rPr>
                <w:iCs/>
              </w:rPr>
              <w:t>.</w:t>
            </w:r>
            <w:proofErr w:type="gramEnd"/>
          </w:p>
          <w:p w:rsidR="00D0175F" w:rsidRDefault="00D0175F" w:rsidP="00D60212">
            <w:pPr>
              <w:tabs>
                <w:tab w:val="left" w:pos="317"/>
              </w:tabs>
              <w:ind w:left="720" w:hanging="545"/>
              <w:jc w:val="both"/>
            </w:pPr>
            <w:r>
              <w:t>Идентификационные признаки ценных бумаг:</w:t>
            </w:r>
          </w:p>
          <w:p w:rsidR="00D0175F" w:rsidRPr="002E07A8" w:rsidRDefault="00D0175F" w:rsidP="00D60212">
            <w:pPr>
              <w:tabs>
                <w:tab w:val="left" w:pos="317"/>
              </w:tabs>
              <w:ind w:left="175"/>
              <w:jc w:val="both"/>
            </w:pPr>
            <w:r>
              <w:t xml:space="preserve">вид, категория (тип): акция обыкновенная именная государственный регистрационный номер выпуска (дополнительного выпуска) ценных бумаг и дата его государственной регистрации (идентификационный номер выпуска (дополнительного выпуска) ценных бумаг и дата его присвоения): 1-02-00063-A от 08.07.2003 международный код (номер) идентификации ценных </w:t>
            </w:r>
            <w:r>
              <w:lastRenderedPageBreak/>
              <w:t>бумаг (ISIN) (при наличии): RU0009046767</w:t>
            </w:r>
          </w:p>
        </w:tc>
      </w:tr>
      <w:tr w:rsidR="00D0175F" w:rsidRPr="002E07A8" w:rsidTr="00D60212">
        <w:tc>
          <w:tcPr>
            <w:tcW w:w="10348" w:type="dxa"/>
            <w:gridSpan w:val="2"/>
          </w:tcPr>
          <w:p w:rsidR="00D0175F" w:rsidRPr="002E07A8" w:rsidRDefault="00D0175F" w:rsidP="00D60212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Подпись</w:t>
            </w:r>
          </w:p>
        </w:tc>
      </w:tr>
      <w:tr w:rsidR="00D0175F" w:rsidRPr="002E07A8" w:rsidTr="00D60212">
        <w:tc>
          <w:tcPr>
            <w:tcW w:w="10348" w:type="dxa"/>
            <w:gridSpan w:val="2"/>
          </w:tcPr>
          <w:p w:rsidR="00D0175F" w:rsidRPr="002E07A8" w:rsidRDefault="00D0175F" w:rsidP="00D60212">
            <w:pPr>
              <w:rPr>
                <w:rFonts w:eastAsia="Calibri"/>
              </w:rPr>
            </w:pPr>
            <w:r w:rsidRPr="002E07A8">
              <w:rPr>
                <w:rFonts w:eastAsia="Calibri"/>
              </w:rPr>
              <w:t>3.1. Начальник департамента</w:t>
            </w:r>
          </w:p>
          <w:p w:rsidR="00D0175F" w:rsidRPr="002E07A8" w:rsidRDefault="00D0175F" w:rsidP="00D60212">
            <w:pPr>
              <w:rPr>
                <w:rFonts w:eastAsia="Calibri"/>
              </w:rPr>
            </w:pPr>
            <w:r w:rsidRPr="002E07A8">
              <w:rPr>
                <w:rFonts w:eastAsia="Calibri"/>
              </w:rPr>
              <w:t xml:space="preserve">корпоративного управления </w:t>
            </w:r>
          </w:p>
          <w:p w:rsidR="00D0175F" w:rsidRPr="002E07A8" w:rsidRDefault="00D0175F" w:rsidP="00D60212">
            <w:pPr>
              <w:rPr>
                <w:rFonts w:eastAsia="Calibri"/>
              </w:rPr>
            </w:pPr>
            <w:r w:rsidRPr="002E07A8">
              <w:rPr>
                <w:rFonts w:eastAsia="Calibri"/>
              </w:rPr>
              <w:t>и взаимодействия с акционерами                                     ______________________ Е.Е. Диденко</w:t>
            </w:r>
          </w:p>
          <w:p w:rsidR="00D0175F" w:rsidRPr="002E07A8" w:rsidRDefault="00D0175F" w:rsidP="00D60212">
            <w:pPr>
              <w:rPr>
                <w:rFonts w:eastAsia="Calibri"/>
              </w:rPr>
            </w:pPr>
            <w:r w:rsidRPr="002E07A8">
              <w:rPr>
                <w:rFonts w:eastAsia="Calibri"/>
              </w:rPr>
              <w:t xml:space="preserve">(по доверенности №23/256-н/23-2020-4-130 от 23.01.2020)               (подпись) </w:t>
            </w:r>
          </w:p>
          <w:p w:rsidR="00D0175F" w:rsidRPr="002E07A8" w:rsidRDefault="00D0175F" w:rsidP="00D60212">
            <w:pPr>
              <w:rPr>
                <w:rFonts w:eastAsia="Calibri"/>
              </w:rPr>
            </w:pPr>
            <w:r w:rsidRPr="002E07A8">
              <w:rPr>
                <w:rFonts w:eastAsia="Calibri"/>
              </w:rPr>
              <w:t xml:space="preserve">                 </w:t>
            </w:r>
          </w:p>
          <w:p w:rsidR="00D0175F" w:rsidRPr="002E07A8" w:rsidRDefault="00D0175F" w:rsidP="00D60212">
            <w:pPr>
              <w:pStyle w:val="a3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eastAsia="Calibri" w:hAnsi="Times New Roman" w:cs="Times New Roman"/>
                <w:sz w:val="24"/>
                <w:szCs w:val="24"/>
              </w:rPr>
              <w:t>3.2. Дата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2E0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апреля</w:t>
            </w:r>
            <w:r w:rsidRPr="002E0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 г.                         М.П.</w:t>
            </w:r>
          </w:p>
        </w:tc>
      </w:tr>
    </w:tbl>
    <w:p w:rsidR="00D0175F" w:rsidRPr="002E07A8" w:rsidRDefault="00D0175F" w:rsidP="00D0175F"/>
    <w:p w:rsidR="00D0175F" w:rsidRPr="00D0175F" w:rsidRDefault="00D0175F" w:rsidP="007E12BB"/>
    <w:p w:rsidR="00D0175F" w:rsidRPr="00D0175F" w:rsidRDefault="00D0175F" w:rsidP="007E12BB"/>
    <w:p w:rsidR="00D0175F" w:rsidRPr="00D0175F" w:rsidRDefault="00D0175F" w:rsidP="007E12BB"/>
    <w:p w:rsidR="00D0175F" w:rsidRPr="00D0175F" w:rsidRDefault="00D0175F" w:rsidP="007E12BB"/>
    <w:p w:rsidR="00D0175F" w:rsidRPr="00D0175F" w:rsidRDefault="00D0175F" w:rsidP="007E12BB"/>
    <w:p w:rsidR="00D0175F" w:rsidRPr="00D0175F" w:rsidRDefault="00D0175F" w:rsidP="007E12BB"/>
    <w:p w:rsidR="00D0175F" w:rsidRPr="00D0175F" w:rsidRDefault="00D0175F" w:rsidP="007E12BB"/>
    <w:sectPr w:rsidR="00D0175F" w:rsidRPr="00D0175F" w:rsidSect="007E12BB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2F0276"/>
    <w:multiLevelType w:val="hybridMultilevel"/>
    <w:tmpl w:val="49CA5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7E09DC"/>
    <w:multiLevelType w:val="hybridMultilevel"/>
    <w:tmpl w:val="49CA5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D45EAB"/>
    <w:multiLevelType w:val="hybridMultilevel"/>
    <w:tmpl w:val="3882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8"/>
  </w:num>
  <w:num w:numId="3">
    <w:abstractNumId w:val="11"/>
  </w:num>
  <w:num w:numId="4">
    <w:abstractNumId w:val="25"/>
  </w:num>
  <w:num w:numId="5">
    <w:abstractNumId w:val="15"/>
  </w:num>
  <w:num w:numId="6">
    <w:abstractNumId w:va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39"/>
  </w:num>
  <w:num w:numId="11">
    <w:abstractNumId w:val="10"/>
  </w:num>
  <w:num w:numId="12">
    <w:abstractNumId w:val="3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4"/>
  </w:num>
  <w:num w:numId="25">
    <w:abstractNumId w:val="42"/>
  </w:num>
  <w:num w:numId="26">
    <w:abstractNumId w:val="28"/>
  </w:num>
  <w:num w:numId="27">
    <w:abstractNumId w:val="5"/>
  </w:num>
  <w:num w:numId="28">
    <w:abstractNumId w:val="33"/>
  </w:num>
  <w:num w:numId="29">
    <w:abstractNumId w:val="2"/>
  </w:num>
  <w:num w:numId="30">
    <w:abstractNumId w:val="40"/>
  </w:num>
  <w:num w:numId="31">
    <w:abstractNumId w:val="34"/>
  </w:num>
  <w:num w:numId="32">
    <w:abstractNumId w:val="12"/>
  </w:num>
  <w:num w:numId="33">
    <w:abstractNumId w:val="24"/>
  </w:num>
  <w:num w:numId="34">
    <w:abstractNumId w:val="43"/>
  </w:num>
  <w:num w:numId="35">
    <w:abstractNumId w:val="0"/>
  </w:num>
  <w:num w:numId="36">
    <w:abstractNumId w:val="38"/>
  </w:num>
  <w:num w:numId="37">
    <w:abstractNumId w:val="21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5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6"/>
  </w:num>
  <w:num w:numId="44">
    <w:abstractNumId w:val="30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39DA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3B3B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62ACE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4E9"/>
    <w:rsid w:val="00265842"/>
    <w:rsid w:val="00266003"/>
    <w:rsid w:val="00266C87"/>
    <w:rsid w:val="00270AF3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22D4"/>
    <w:rsid w:val="002D339C"/>
    <w:rsid w:val="002E017E"/>
    <w:rsid w:val="002E039F"/>
    <w:rsid w:val="002E07A8"/>
    <w:rsid w:val="002E5022"/>
    <w:rsid w:val="002F1521"/>
    <w:rsid w:val="002F2935"/>
    <w:rsid w:val="002F30C6"/>
    <w:rsid w:val="002F32C5"/>
    <w:rsid w:val="002F393F"/>
    <w:rsid w:val="00300231"/>
    <w:rsid w:val="003027ED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50B6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72C6D"/>
    <w:rsid w:val="00480114"/>
    <w:rsid w:val="004810D5"/>
    <w:rsid w:val="00483AC3"/>
    <w:rsid w:val="0048565A"/>
    <w:rsid w:val="00487361"/>
    <w:rsid w:val="004905D9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05C58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CA3"/>
    <w:rsid w:val="006C5F8B"/>
    <w:rsid w:val="006C6B41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D40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12BB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345"/>
    <w:rsid w:val="009246F2"/>
    <w:rsid w:val="00924808"/>
    <w:rsid w:val="0092733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3323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0510"/>
    <w:rsid w:val="009D1729"/>
    <w:rsid w:val="009D22E2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29F9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078F"/>
    <w:rsid w:val="00BD1B3D"/>
    <w:rsid w:val="00BD4D22"/>
    <w:rsid w:val="00BD5465"/>
    <w:rsid w:val="00BD572C"/>
    <w:rsid w:val="00BE0606"/>
    <w:rsid w:val="00BE0820"/>
    <w:rsid w:val="00BE104B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810"/>
    <w:rsid w:val="00CD2BBD"/>
    <w:rsid w:val="00CE3687"/>
    <w:rsid w:val="00CE7C2D"/>
    <w:rsid w:val="00CF073F"/>
    <w:rsid w:val="00CF0813"/>
    <w:rsid w:val="00CF272B"/>
    <w:rsid w:val="00CF2A6E"/>
    <w:rsid w:val="00CF63EA"/>
    <w:rsid w:val="00CF6B05"/>
    <w:rsid w:val="00CF6D7A"/>
    <w:rsid w:val="00D00C88"/>
    <w:rsid w:val="00D0175F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86FCD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0CCB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1D8B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360D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A6A7A-81B3-4C4F-B27A-F850EE79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42</cp:revision>
  <cp:lastPrinted>2019-12-30T12:58:00Z</cp:lastPrinted>
  <dcterms:created xsi:type="dcterms:W3CDTF">2019-07-19T09:01:00Z</dcterms:created>
  <dcterms:modified xsi:type="dcterms:W3CDTF">2020-06-27T19:49:00Z</dcterms:modified>
</cp:coreProperties>
</file>