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54" w:rsidRPr="00F65154" w:rsidRDefault="00F65154" w:rsidP="00F65154">
      <w:pPr>
        <w:jc w:val="center"/>
        <w:rPr>
          <w:b/>
          <w:bCs/>
          <w:color w:val="000000"/>
          <w:lang w:val="en-US"/>
        </w:rPr>
      </w:pPr>
      <w:r w:rsidRPr="00F65154">
        <w:rPr>
          <w:b/>
          <w:bCs/>
          <w:color w:val="000000"/>
          <w:lang w:val="en-US"/>
        </w:rPr>
        <w:t xml:space="preserve">Corporate action notification </w:t>
      </w:r>
    </w:p>
    <w:p w:rsidR="00F65154" w:rsidRPr="00F65154" w:rsidRDefault="00F65154" w:rsidP="00F65154">
      <w:pPr>
        <w:jc w:val="center"/>
        <w:rPr>
          <w:b/>
          <w:bCs/>
          <w:color w:val="000000"/>
          <w:lang w:val="en-US"/>
        </w:rPr>
      </w:pPr>
      <w:r w:rsidRPr="00F65154">
        <w:rPr>
          <w:b/>
          <w:bCs/>
          <w:color w:val="000000"/>
          <w:lang w:val="en-US"/>
        </w:rPr>
        <w:t>‘For a meeting of the Issuer’s Board of Directors and its agenda’</w:t>
      </w:r>
    </w:p>
    <w:p w:rsidR="000C7EFD" w:rsidRPr="002E07A8" w:rsidRDefault="00F65154" w:rsidP="00F65154">
      <w:pPr>
        <w:jc w:val="center"/>
        <w:rPr>
          <w:b/>
          <w:bCs/>
          <w:color w:val="000000"/>
        </w:rPr>
      </w:pPr>
      <w:r w:rsidRPr="00F65154">
        <w:rPr>
          <w:b/>
          <w:bCs/>
          <w:color w:val="000000"/>
        </w:rPr>
        <w:t>(disclosure of insider information)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96AAF" w:rsidRPr="002E07A8" w:rsidTr="00D11359">
        <w:tc>
          <w:tcPr>
            <w:tcW w:w="10348" w:type="dxa"/>
            <w:gridSpan w:val="2"/>
          </w:tcPr>
          <w:p w:rsidR="00396AAF" w:rsidRPr="002E07A8" w:rsidRDefault="00F65154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 w:rsidR="00EA7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</w:tc>
      </w:tr>
      <w:tr w:rsidR="00F65154" w:rsidRPr="00F65154" w:rsidTr="007E12BB">
        <w:tc>
          <w:tcPr>
            <w:tcW w:w="4395" w:type="dxa"/>
          </w:tcPr>
          <w:p w:rsidR="00F65154" w:rsidRPr="00F65154" w:rsidRDefault="00F65154" w:rsidP="00FE47F2">
            <w:pPr>
              <w:rPr>
                <w:lang w:val="en-US"/>
              </w:rPr>
            </w:pPr>
            <w:r w:rsidRPr="00F65154">
              <w:rPr>
                <w:lang w:val="en-US"/>
              </w:rPr>
              <w:t>1.1  Full corporate name of the issuer</w:t>
            </w:r>
          </w:p>
        </w:tc>
        <w:tc>
          <w:tcPr>
            <w:tcW w:w="5953" w:type="dxa"/>
          </w:tcPr>
          <w:p w:rsidR="00F65154" w:rsidRPr="00AB464D" w:rsidRDefault="00F65154" w:rsidP="000C0DF1">
            <w:pPr>
              <w:rPr>
                <w:i/>
                <w:lang w:val="en-US"/>
              </w:rPr>
            </w:pPr>
            <w:r w:rsidRPr="00AB464D">
              <w:rPr>
                <w:i/>
                <w:lang w:val="en-US"/>
              </w:rPr>
              <w:t xml:space="preserve">Public Joint Stock Company of Power Industry and Electrification of Kuban </w:t>
            </w:r>
          </w:p>
        </w:tc>
      </w:tr>
      <w:tr w:rsidR="00F65154" w:rsidRPr="002E07A8" w:rsidTr="007E12BB">
        <w:tc>
          <w:tcPr>
            <w:tcW w:w="4395" w:type="dxa"/>
          </w:tcPr>
          <w:p w:rsidR="00F65154" w:rsidRPr="00F65154" w:rsidRDefault="00F65154" w:rsidP="00FE47F2">
            <w:pPr>
              <w:rPr>
                <w:lang w:val="en-US"/>
              </w:rPr>
            </w:pPr>
            <w:r w:rsidRPr="00F65154">
              <w:rPr>
                <w:lang w:val="en-US"/>
              </w:rPr>
              <w:t>1.2. Short name of the issuer</w:t>
            </w:r>
          </w:p>
        </w:tc>
        <w:tc>
          <w:tcPr>
            <w:tcW w:w="5953" w:type="dxa"/>
          </w:tcPr>
          <w:p w:rsidR="00F65154" w:rsidRPr="00AB464D" w:rsidRDefault="00F65154" w:rsidP="000C0DF1">
            <w:pPr>
              <w:rPr>
                <w:i/>
              </w:rPr>
            </w:pPr>
            <w:r w:rsidRPr="00AB464D">
              <w:rPr>
                <w:i/>
              </w:rPr>
              <w:t>PJSC Kubanenergo</w:t>
            </w:r>
          </w:p>
        </w:tc>
      </w:tr>
      <w:tr w:rsidR="00F65154" w:rsidRPr="002E07A8" w:rsidTr="007E12BB">
        <w:tc>
          <w:tcPr>
            <w:tcW w:w="4395" w:type="dxa"/>
          </w:tcPr>
          <w:p w:rsidR="00F65154" w:rsidRPr="00F65154" w:rsidRDefault="00F65154" w:rsidP="00FE47F2">
            <w:pPr>
              <w:rPr>
                <w:lang w:val="en-US"/>
              </w:rPr>
            </w:pPr>
            <w:r w:rsidRPr="00F65154">
              <w:rPr>
                <w:lang w:val="en-US"/>
              </w:rPr>
              <w:t>1.3. Registered office of the issuer</w:t>
            </w:r>
          </w:p>
        </w:tc>
        <w:tc>
          <w:tcPr>
            <w:tcW w:w="5953" w:type="dxa"/>
          </w:tcPr>
          <w:p w:rsidR="00F65154" w:rsidRPr="00AB464D" w:rsidRDefault="00F65154" w:rsidP="000C0DF1">
            <w:pPr>
              <w:rPr>
                <w:i/>
              </w:rPr>
            </w:pPr>
            <w:r>
              <w:rPr>
                <w:i/>
                <w:lang w:val="en-US"/>
              </w:rPr>
              <w:t>t</w:t>
            </w:r>
            <w:r w:rsidRPr="00AB464D">
              <w:rPr>
                <w:i/>
              </w:rPr>
              <w:t>he Russian Federation, Krasnodar</w:t>
            </w:r>
          </w:p>
        </w:tc>
      </w:tr>
      <w:tr w:rsidR="00F65154" w:rsidRPr="002E07A8" w:rsidTr="007E12BB">
        <w:tc>
          <w:tcPr>
            <w:tcW w:w="4395" w:type="dxa"/>
          </w:tcPr>
          <w:p w:rsidR="00F65154" w:rsidRPr="000D4B18" w:rsidRDefault="00F65154" w:rsidP="00FE47F2">
            <w:r w:rsidRPr="000D4B18">
              <w:t>1.4. PSRN of the issuer</w:t>
            </w:r>
          </w:p>
        </w:tc>
        <w:tc>
          <w:tcPr>
            <w:tcW w:w="5953" w:type="dxa"/>
          </w:tcPr>
          <w:p w:rsidR="00F65154" w:rsidRPr="002E07A8" w:rsidRDefault="00F65154" w:rsidP="005A1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F65154" w:rsidRPr="002E07A8" w:rsidTr="007E12BB">
        <w:tc>
          <w:tcPr>
            <w:tcW w:w="4395" w:type="dxa"/>
          </w:tcPr>
          <w:p w:rsidR="00F65154" w:rsidRPr="000D4B18" w:rsidRDefault="00F65154" w:rsidP="00FE47F2">
            <w:r w:rsidRPr="000D4B18">
              <w:t>1.5. TIN of the issuer</w:t>
            </w:r>
          </w:p>
        </w:tc>
        <w:tc>
          <w:tcPr>
            <w:tcW w:w="5953" w:type="dxa"/>
          </w:tcPr>
          <w:p w:rsidR="00F65154" w:rsidRPr="002E07A8" w:rsidRDefault="00F65154" w:rsidP="005A1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F65154" w:rsidRPr="002E07A8" w:rsidTr="007E12BB">
        <w:tc>
          <w:tcPr>
            <w:tcW w:w="4395" w:type="dxa"/>
          </w:tcPr>
          <w:p w:rsidR="00F65154" w:rsidRPr="00F65154" w:rsidRDefault="00F65154" w:rsidP="00FE47F2">
            <w:pPr>
              <w:rPr>
                <w:lang w:val="en-US"/>
              </w:rPr>
            </w:pPr>
            <w:r w:rsidRPr="00F65154">
              <w:rPr>
                <w:lang w:val="en-US"/>
              </w:rPr>
              <w:t>1.6. Unique code of the issuer assigned by the registration body</w:t>
            </w:r>
          </w:p>
        </w:tc>
        <w:tc>
          <w:tcPr>
            <w:tcW w:w="5953" w:type="dxa"/>
          </w:tcPr>
          <w:p w:rsidR="00F65154" w:rsidRPr="002E07A8" w:rsidRDefault="00F65154" w:rsidP="005A1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F65154" w:rsidRPr="002E07A8" w:rsidTr="007E12BB">
        <w:tc>
          <w:tcPr>
            <w:tcW w:w="4395" w:type="dxa"/>
          </w:tcPr>
          <w:p w:rsidR="00F65154" w:rsidRPr="00F65154" w:rsidRDefault="00F65154" w:rsidP="00FE47F2">
            <w:pPr>
              <w:rPr>
                <w:lang w:val="en-US"/>
              </w:rPr>
            </w:pPr>
            <w:r w:rsidRPr="00F65154">
              <w:rPr>
                <w:lang w:val="en-US"/>
              </w:rPr>
              <w:t>1.7. URL used by the issuer for information disclosure</w:t>
            </w:r>
          </w:p>
        </w:tc>
        <w:tc>
          <w:tcPr>
            <w:tcW w:w="5953" w:type="dxa"/>
          </w:tcPr>
          <w:p w:rsidR="00F65154" w:rsidRPr="002E07A8" w:rsidRDefault="00F65154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</w:t>
            </w: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hyperlink r:id="rId7" w:history="1"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www</w:t>
              </w:r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5154" w:rsidRPr="002E07A8" w:rsidRDefault="00F65154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http://www.e-isclosure.ru/portal/company.aspx?id=2827</w:t>
            </w:r>
          </w:p>
          <w:p w:rsidR="00F65154" w:rsidRPr="002E07A8" w:rsidRDefault="00F65154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5154" w:rsidRPr="002E07A8" w:rsidTr="007E12BB">
        <w:tc>
          <w:tcPr>
            <w:tcW w:w="4395" w:type="dxa"/>
          </w:tcPr>
          <w:p w:rsidR="00F65154" w:rsidRPr="00F65154" w:rsidRDefault="00F65154" w:rsidP="00FE47F2">
            <w:pPr>
              <w:rPr>
                <w:lang w:val="en-US"/>
              </w:rPr>
            </w:pPr>
            <w:r w:rsidRPr="00F65154">
              <w:rPr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5953" w:type="dxa"/>
          </w:tcPr>
          <w:p w:rsidR="00F65154" w:rsidRPr="002E07A8" w:rsidRDefault="00F65154" w:rsidP="00F65154">
            <w:pPr>
              <w:jc w:val="both"/>
            </w:pPr>
            <w:r>
              <w:rPr>
                <w:lang w:val="en-US"/>
              </w:rPr>
              <w:t xml:space="preserve">April </w:t>
            </w:r>
            <w:r>
              <w:t>21</w:t>
            </w:r>
            <w:r>
              <w:rPr>
                <w:lang w:val="en-US"/>
              </w:rPr>
              <w:t xml:space="preserve">, </w:t>
            </w:r>
            <w:r w:rsidRPr="002E07A8">
              <w:t>2020</w:t>
            </w:r>
          </w:p>
        </w:tc>
      </w:tr>
      <w:tr w:rsidR="00396AAF" w:rsidRPr="002E07A8" w:rsidTr="00D11359">
        <w:tc>
          <w:tcPr>
            <w:tcW w:w="10348" w:type="dxa"/>
            <w:gridSpan w:val="2"/>
          </w:tcPr>
          <w:p w:rsidR="00396AAF" w:rsidRPr="00F65154" w:rsidRDefault="00396AAF" w:rsidP="00F65154">
            <w:pPr>
              <w:jc w:val="center"/>
              <w:rPr>
                <w:lang w:val="en-US"/>
              </w:rPr>
            </w:pPr>
            <w:r w:rsidRPr="002E07A8">
              <w:t xml:space="preserve">2. </w:t>
            </w:r>
            <w:r w:rsidR="00F65154">
              <w:rPr>
                <w:lang w:val="en-US"/>
              </w:rPr>
              <w:t>Notification content</w:t>
            </w:r>
          </w:p>
        </w:tc>
      </w:tr>
      <w:tr w:rsidR="00396AAF" w:rsidRPr="00F65154" w:rsidTr="00D11359">
        <w:tc>
          <w:tcPr>
            <w:tcW w:w="10348" w:type="dxa"/>
            <w:gridSpan w:val="2"/>
          </w:tcPr>
          <w:p w:rsidR="00396AAF" w:rsidRPr="00F65154" w:rsidRDefault="00396AAF" w:rsidP="00F65154">
            <w:pPr>
              <w:jc w:val="both"/>
              <w:rPr>
                <w:lang w:val="en-US"/>
              </w:rPr>
            </w:pPr>
            <w:r w:rsidRPr="00F65154">
              <w:rPr>
                <w:lang w:val="en-US"/>
              </w:rPr>
              <w:t xml:space="preserve">2.1. </w:t>
            </w:r>
            <w:r w:rsidR="00F65154" w:rsidRPr="00F65154">
              <w:rPr>
                <w:color w:val="000000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F65154">
              <w:rPr>
                <w:b/>
                <w:i/>
                <w:color w:val="000000"/>
                <w:lang w:val="en-US"/>
              </w:rPr>
              <w:t>–</w:t>
            </w:r>
            <w:r w:rsidR="00F65154">
              <w:rPr>
                <w:b/>
                <w:i/>
                <w:color w:val="000000"/>
                <w:lang w:val="en-US"/>
              </w:rPr>
              <w:t xml:space="preserve"> April </w:t>
            </w:r>
            <w:r w:rsidR="009D0510" w:rsidRPr="00F65154">
              <w:rPr>
                <w:b/>
                <w:i/>
                <w:color w:val="000000"/>
                <w:lang w:val="en-US"/>
              </w:rPr>
              <w:t>2</w:t>
            </w:r>
            <w:r w:rsidR="00162ACE" w:rsidRPr="00F65154">
              <w:rPr>
                <w:b/>
                <w:i/>
                <w:color w:val="000000"/>
                <w:lang w:val="en-US"/>
              </w:rPr>
              <w:t>1</w:t>
            </w:r>
            <w:r w:rsidR="00F65154">
              <w:rPr>
                <w:b/>
                <w:i/>
                <w:color w:val="000000"/>
                <w:lang w:val="en-US"/>
              </w:rPr>
              <w:t>,</w:t>
            </w:r>
            <w:r w:rsidR="00F65154" w:rsidRPr="00F65154">
              <w:rPr>
                <w:b/>
                <w:i/>
                <w:color w:val="000000"/>
                <w:lang w:val="en-US"/>
              </w:rPr>
              <w:t xml:space="preserve"> </w:t>
            </w:r>
            <w:r w:rsidR="00A256D1" w:rsidRPr="00F65154">
              <w:rPr>
                <w:b/>
                <w:i/>
                <w:color w:val="000000"/>
                <w:lang w:val="en-US"/>
              </w:rPr>
              <w:t>20</w:t>
            </w:r>
            <w:r w:rsidR="00695C20" w:rsidRPr="00F65154">
              <w:rPr>
                <w:b/>
                <w:i/>
                <w:color w:val="000000"/>
                <w:lang w:val="en-US"/>
              </w:rPr>
              <w:t>20</w:t>
            </w:r>
            <w:r w:rsidRPr="00F65154">
              <w:rPr>
                <w:b/>
                <w:i/>
                <w:lang w:val="en-US"/>
              </w:rPr>
              <w:t>.</w:t>
            </w:r>
          </w:p>
        </w:tc>
      </w:tr>
      <w:tr w:rsidR="00396AAF" w:rsidRPr="00F65154" w:rsidTr="00D11359">
        <w:tc>
          <w:tcPr>
            <w:tcW w:w="10348" w:type="dxa"/>
            <w:gridSpan w:val="2"/>
          </w:tcPr>
          <w:p w:rsidR="00396AAF" w:rsidRPr="00F65154" w:rsidRDefault="00396AAF" w:rsidP="00F65154">
            <w:pPr>
              <w:jc w:val="both"/>
              <w:rPr>
                <w:lang w:val="en-US"/>
              </w:rPr>
            </w:pPr>
            <w:r w:rsidRPr="00F65154">
              <w:rPr>
                <w:lang w:val="en-US"/>
              </w:rPr>
              <w:t xml:space="preserve">2.2. </w:t>
            </w:r>
            <w:r w:rsidR="00F65154" w:rsidRPr="00F65154">
              <w:rPr>
                <w:szCs w:val="25"/>
                <w:lang w:val="en-US"/>
              </w:rPr>
              <w:t xml:space="preserve">The date for conducting the meeting of the Issuer’s Board of Directors </w:t>
            </w:r>
            <w:r w:rsidR="008F36F1" w:rsidRPr="00F65154">
              <w:rPr>
                <w:color w:val="000000"/>
                <w:lang w:val="en-US"/>
              </w:rPr>
              <w:t>–</w:t>
            </w:r>
            <w:r w:rsidR="008F36F1" w:rsidRPr="00F65154">
              <w:rPr>
                <w:b/>
                <w:i/>
                <w:color w:val="000000"/>
                <w:lang w:val="en-US"/>
              </w:rPr>
              <w:t xml:space="preserve"> </w:t>
            </w:r>
            <w:r w:rsidR="00F65154">
              <w:rPr>
                <w:b/>
                <w:i/>
                <w:color w:val="000000"/>
                <w:lang w:val="en-US"/>
              </w:rPr>
              <w:t xml:space="preserve">April </w:t>
            </w:r>
            <w:r w:rsidR="009D0510" w:rsidRPr="00F65154">
              <w:rPr>
                <w:b/>
                <w:i/>
                <w:color w:val="000000"/>
                <w:lang w:val="en-US"/>
              </w:rPr>
              <w:t>24</w:t>
            </w:r>
            <w:r w:rsidR="00F65154">
              <w:rPr>
                <w:b/>
                <w:i/>
                <w:color w:val="000000"/>
                <w:lang w:val="en-US"/>
              </w:rPr>
              <w:t>,</w:t>
            </w:r>
            <w:r w:rsidR="009D0510" w:rsidRPr="00F65154">
              <w:rPr>
                <w:color w:val="000000"/>
                <w:lang w:val="en-US"/>
              </w:rPr>
              <w:t xml:space="preserve"> </w:t>
            </w:r>
            <w:r w:rsidR="00952ED0" w:rsidRPr="00F65154">
              <w:rPr>
                <w:b/>
                <w:i/>
                <w:color w:val="000000"/>
                <w:lang w:val="en-US"/>
              </w:rPr>
              <w:t>20</w:t>
            </w:r>
            <w:r w:rsidR="00695C20" w:rsidRPr="00F65154">
              <w:rPr>
                <w:b/>
                <w:i/>
                <w:color w:val="000000"/>
                <w:lang w:val="en-US"/>
              </w:rPr>
              <w:t>20</w:t>
            </w:r>
            <w:r w:rsidR="00952ED0" w:rsidRPr="00F65154">
              <w:rPr>
                <w:b/>
                <w:i/>
                <w:lang w:val="en-US"/>
              </w:rPr>
              <w:t>.</w:t>
            </w:r>
          </w:p>
        </w:tc>
      </w:tr>
      <w:tr w:rsidR="00396AAF" w:rsidRPr="00EA7A28" w:rsidTr="00162ACE">
        <w:trPr>
          <w:trHeight w:val="904"/>
        </w:trPr>
        <w:tc>
          <w:tcPr>
            <w:tcW w:w="10348" w:type="dxa"/>
            <w:gridSpan w:val="2"/>
          </w:tcPr>
          <w:p w:rsidR="00396AAF" w:rsidRPr="00F65154" w:rsidRDefault="00396AAF" w:rsidP="00D11359">
            <w:pPr>
              <w:jc w:val="both"/>
              <w:rPr>
                <w:lang w:val="en-US"/>
              </w:rPr>
            </w:pPr>
            <w:r w:rsidRPr="00F65154">
              <w:rPr>
                <w:lang w:val="en-US"/>
              </w:rPr>
              <w:t xml:space="preserve">2.3. </w:t>
            </w:r>
            <w:r w:rsidR="00F65154" w:rsidRPr="00F65154">
              <w:rPr>
                <w:lang w:val="en-US"/>
              </w:rPr>
              <w:t>Agenda of the meeting of the Issuer’s Board of Directors</w:t>
            </w:r>
            <w:r w:rsidRPr="00F65154">
              <w:rPr>
                <w:lang w:val="en-US"/>
              </w:rPr>
              <w:t>:</w:t>
            </w:r>
          </w:p>
          <w:p w:rsidR="002E253E" w:rsidRPr="002E253E" w:rsidRDefault="002E253E" w:rsidP="002E253E">
            <w:pPr>
              <w:pStyle w:val="a5"/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 w:rsidRPr="002E253E">
              <w:rPr>
                <w:lang w:val="en-US"/>
              </w:rPr>
              <w:t>On convening of the General Meeting of Shareholders of the Company</w:t>
            </w:r>
            <w:r>
              <w:rPr>
                <w:lang w:val="en-US"/>
              </w:rPr>
              <w:t xml:space="preserve">, </w:t>
            </w:r>
            <w:r w:rsidR="00EF6419">
              <w:rPr>
                <w:lang w:val="en-US"/>
              </w:rPr>
              <w:t>determination of the format and date of the meeting.</w:t>
            </w:r>
          </w:p>
          <w:p w:rsidR="00EF6419" w:rsidRPr="00EF6419" w:rsidRDefault="00EF6419" w:rsidP="00EF6419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</w:t>
            </w:r>
            <w:r w:rsidRPr="00EF6419">
              <w:rPr>
                <w:bCs/>
                <w:lang w:val="en-US"/>
              </w:rPr>
              <w:t>pproval of the determination date (record date)</w:t>
            </w:r>
            <w:r>
              <w:rPr>
                <w:bCs/>
                <w:lang w:val="en-US"/>
              </w:rPr>
              <w:t xml:space="preserve"> </w:t>
            </w:r>
            <w:r w:rsidRPr="00EF6419">
              <w:rPr>
                <w:bCs/>
                <w:lang w:val="en-US"/>
              </w:rPr>
              <w:t>established by the company in order to determine which shareholders are eligible to take part in the Annual General Meeting of Shareh</w:t>
            </w:r>
            <w:r>
              <w:rPr>
                <w:bCs/>
                <w:lang w:val="en-US"/>
              </w:rPr>
              <w:t>olders.</w:t>
            </w:r>
          </w:p>
          <w:p w:rsidR="00F128AA" w:rsidRPr="00F128AA" w:rsidRDefault="00F128AA" w:rsidP="00F128AA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On determination of the type (types) of preferred shares, the owners of which have the voting rights </w:t>
            </w:r>
            <w:r w:rsidRPr="00F128AA">
              <w:rPr>
                <w:lang w:val="en-US"/>
              </w:rPr>
              <w:t>on the items of the Agenda</w:t>
            </w:r>
            <w:r>
              <w:rPr>
                <w:lang w:val="en-US"/>
              </w:rPr>
              <w:t xml:space="preserve"> of the General Meeting</w:t>
            </w:r>
            <w:r w:rsidR="003C2A87">
              <w:rPr>
                <w:lang w:val="en-US"/>
              </w:rPr>
              <w:t xml:space="preserve"> </w:t>
            </w:r>
            <w:r w:rsidRPr="002E253E">
              <w:rPr>
                <w:lang w:val="en-US"/>
              </w:rPr>
              <w:t>of Shareholders of the Company</w:t>
            </w:r>
            <w:r>
              <w:rPr>
                <w:lang w:val="en-US"/>
              </w:rPr>
              <w:t>.</w:t>
            </w:r>
          </w:p>
          <w:p w:rsidR="00F128AA" w:rsidRPr="00F128AA" w:rsidRDefault="00F128AA" w:rsidP="00F128AA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Approval of the agenda of</w:t>
            </w:r>
            <w:r w:rsidRPr="00F128A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the </w:t>
            </w:r>
            <w:r w:rsidRPr="00F128AA">
              <w:rPr>
                <w:lang w:val="en-US"/>
              </w:rPr>
              <w:t>General Meeting of Shareholders of the Company</w:t>
            </w:r>
            <w:r w:rsidR="003C2A87">
              <w:rPr>
                <w:lang w:val="en-US"/>
              </w:rPr>
              <w:t>.</w:t>
            </w:r>
            <w:bookmarkStart w:id="0" w:name="_GoBack"/>
            <w:bookmarkEnd w:id="0"/>
          </w:p>
          <w:p w:rsidR="001B5243" w:rsidRPr="001B5243" w:rsidRDefault="001B5243" w:rsidP="00B9127A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On the approval of list of information (materials) provided to shareholders of the Company </w:t>
            </w:r>
            <w:r w:rsidR="00B9127A">
              <w:rPr>
                <w:lang w:val="en-US"/>
              </w:rPr>
              <w:t xml:space="preserve">as part of preparation for holding the General Meeting of Shareholders of the Company and its </w:t>
            </w:r>
            <w:r w:rsidR="00B9127A" w:rsidRPr="00B9127A">
              <w:rPr>
                <w:lang w:val="en-US"/>
              </w:rPr>
              <w:t>submission procedure</w:t>
            </w:r>
            <w:r w:rsidR="00B9127A">
              <w:rPr>
                <w:lang w:val="en-US"/>
              </w:rPr>
              <w:t>.</w:t>
            </w:r>
          </w:p>
          <w:p w:rsidR="00B9127A" w:rsidRPr="00B9127A" w:rsidRDefault="00B9127A" w:rsidP="007A6F20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Approval of the date on which the voting ballots will be sent to the persons</w:t>
            </w:r>
            <w:r w:rsidR="007A6F20">
              <w:rPr>
                <w:lang w:val="en-US"/>
              </w:rPr>
              <w:t xml:space="preserve"> </w:t>
            </w:r>
            <w:r w:rsidR="007A6F20" w:rsidRPr="007A6F20">
              <w:rPr>
                <w:lang w:val="en-US"/>
              </w:rPr>
              <w:t xml:space="preserve">in order to determine which </w:t>
            </w:r>
            <w:r w:rsidR="007A6F20">
              <w:rPr>
                <w:lang w:val="en-US"/>
              </w:rPr>
              <w:t>of them</w:t>
            </w:r>
            <w:r w:rsidR="007A6F20" w:rsidRPr="007A6F20">
              <w:rPr>
                <w:lang w:val="en-US"/>
              </w:rPr>
              <w:t xml:space="preserve"> are eligible to take part in the Annual General Meeting of Shareholders</w:t>
            </w:r>
            <w:r w:rsidR="007A6F20">
              <w:rPr>
                <w:lang w:val="en-US"/>
              </w:rPr>
              <w:t xml:space="preserve"> of the Company, addresses where completed voting papers can be sent and the acceptance end date</w:t>
            </w:r>
            <w:r w:rsidR="007A6F20" w:rsidRPr="007A6F20">
              <w:rPr>
                <w:lang w:val="en-US"/>
              </w:rPr>
              <w:t xml:space="preserve"> </w:t>
            </w:r>
            <w:r w:rsidR="007A6F20">
              <w:rPr>
                <w:lang w:val="en-US"/>
              </w:rPr>
              <w:t>of the completed voting ballots.</w:t>
            </w:r>
          </w:p>
          <w:p w:rsidR="007A6F20" w:rsidRPr="00763DB0" w:rsidRDefault="00763DB0" w:rsidP="007E12BB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Procedures for informing the shareholders of the Company about the Annual </w:t>
            </w:r>
            <w:r w:rsidRPr="007A6F20">
              <w:rPr>
                <w:lang w:val="en-US"/>
              </w:rPr>
              <w:t>General Meeting of Shareholders</w:t>
            </w:r>
            <w:r>
              <w:rPr>
                <w:lang w:val="en-US"/>
              </w:rPr>
              <w:t xml:space="preserve"> of the Company</w:t>
            </w:r>
            <w:r>
              <w:rPr>
                <w:lang w:val="en-US"/>
              </w:rPr>
              <w:t xml:space="preserve">, including approval of the form and message text. </w:t>
            </w:r>
          </w:p>
          <w:p w:rsidR="00EA7A28" w:rsidRPr="00EA7A28" w:rsidRDefault="00EA7A28" w:rsidP="00EA7A28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Approval of the </w:t>
            </w:r>
            <w:r w:rsidRPr="00EA7A28">
              <w:rPr>
                <w:lang w:val="en-US"/>
              </w:rPr>
              <w:t>conditions of the contract</w:t>
            </w:r>
            <w:r>
              <w:rPr>
                <w:lang w:val="en-US"/>
              </w:rPr>
              <w:t xml:space="preserve"> with C</w:t>
            </w:r>
            <w:r w:rsidRPr="00EA7A28">
              <w:rPr>
                <w:lang w:val="en-US"/>
              </w:rPr>
              <w:t>ompany's registrar</w:t>
            </w:r>
            <w:r>
              <w:rPr>
                <w:lang w:val="en-US"/>
              </w:rPr>
              <w:t>.</w:t>
            </w:r>
          </w:p>
          <w:p w:rsidR="007E12BB" w:rsidRDefault="00EA7A28" w:rsidP="007E12BB">
            <w:pPr>
              <w:tabs>
                <w:tab w:val="left" w:pos="317"/>
              </w:tabs>
              <w:ind w:left="720" w:hanging="545"/>
              <w:jc w:val="both"/>
              <w:rPr>
                <w:lang w:val="en-US"/>
              </w:rPr>
            </w:pPr>
            <w:r w:rsidRPr="00EA7A28">
              <w:rPr>
                <w:lang w:val="en-US"/>
              </w:rPr>
              <w:t>Identification characteristics of securities</w:t>
            </w:r>
            <w:r w:rsidR="007E12BB" w:rsidRPr="00EA7A28">
              <w:rPr>
                <w:lang w:val="en-US"/>
              </w:rPr>
              <w:t>:</w:t>
            </w:r>
          </w:p>
          <w:p w:rsidR="009D22E2" w:rsidRPr="00EA7A28" w:rsidRDefault="00EA7A28" w:rsidP="00EA7A28">
            <w:pPr>
              <w:tabs>
                <w:tab w:val="left" w:pos="317"/>
              </w:tabs>
              <w:ind w:left="175"/>
              <w:jc w:val="both"/>
              <w:rPr>
                <w:lang w:val="en-US"/>
              </w:rPr>
            </w:pPr>
            <w:proofErr w:type="gramStart"/>
            <w:r>
              <w:rPr>
                <w:lang w:val="en-US"/>
              </w:rPr>
              <w:t>type</w:t>
            </w:r>
            <w:proofErr w:type="gramEnd"/>
            <w:r>
              <w:rPr>
                <w:lang w:val="en-US"/>
              </w:rPr>
              <w:t>, category: ordinary registered </w:t>
            </w:r>
            <w:r w:rsidRPr="00EA7A28">
              <w:rPr>
                <w:lang w:val="en-US"/>
              </w:rPr>
              <w:t>share, state registration number of the issue (additional issue) of securities and state registration date (ID number of the issue (additional issue) of securities and date of assignment): 1-02-00063-A of July 08, 2003 International Securities Identification Number (ISIN)(if applicable): RU0009046767.</w:t>
            </w:r>
          </w:p>
        </w:tc>
      </w:tr>
      <w:tr w:rsidR="00396AAF" w:rsidRPr="002E07A8" w:rsidTr="00D11359">
        <w:tc>
          <w:tcPr>
            <w:tcW w:w="10348" w:type="dxa"/>
            <w:gridSpan w:val="2"/>
          </w:tcPr>
          <w:p w:rsidR="00396AAF" w:rsidRPr="000C6051" w:rsidRDefault="00396AAF" w:rsidP="000C6051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C60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396AAF" w:rsidRPr="002E07A8" w:rsidTr="00D11359">
        <w:tc>
          <w:tcPr>
            <w:tcW w:w="10348" w:type="dxa"/>
            <w:gridSpan w:val="2"/>
          </w:tcPr>
          <w:p w:rsidR="000C6051" w:rsidRPr="000C6051" w:rsidRDefault="00695C20" w:rsidP="000C6051">
            <w:pPr>
              <w:rPr>
                <w:rFonts w:eastAsia="Calibri"/>
                <w:lang w:val="en-US"/>
              </w:rPr>
            </w:pPr>
            <w:r w:rsidRPr="000C6051">
              <w:rPr>
                <w:rFonts w:eastAsia="Calibri"/>
                <w:lang w:val="en-US"/>
              </w:rPr>
              <w:t xml:space="preserve">3.1. </w:t>
            </w:r>
            <w:r w:rsidR="000C6051" w:rsidRPr="000C6051">
              <w:rPr>
                <w:rFonts w:eastAsia="Calibri"/>
                <w:lang w:val="en-US"/>
              </w:rPr>
              <w:t xml:space="preserve">Head of Corporate Management </w:t>
            </w:r>
          </w:p>
          <w:p w:rsidR="00CF073F" w:rsidRPr="000C6051" w:rsidRDefault="000C6051" w:rsidP="000C6051">
            <w:pPr>
              <w:rPr>
                <w:rFonts w:eastAsia="Calibri"/>
                <w:lang w:val="en-US"/>
              </w:rPr>
            </w:pPr>
            <w:r w:rsidRPr="000C6051">
              <w:rPr>
                <w:rFonts w:eastAsia="Calibri"/>
                <w:lang w:val="en-US"/>
              </w:rPr>
              <w:t xml:space="preserve">and Shareholders’ Arrangements Department                   </w:t>
            </w:r>
            <w:r w:rsidR="00CF073F" w:rsidRPr="000C6051">
              <w:rPr>
                <w:rFonts w:eastAsia="Calibri"/>
                <w:lang w:val="en-US"/>
              </w:rPr>
              <w:t xml:space="preserve">______________________ </w:t>
            </w:r>
            <w:r w:rsidR="00CF073F" w:rsidRPr="002E07A8">
              <w:rPr>
                <w:rFonts w:eastAsia="Calibri"/>
              </w:rPr>
              <w:t>Е</w:t>
            </w:r>
            <w:r w:rsidR="00CF073F" w:rsidRPr="000C6051">
              <w:rPr>
                <w:rFonts w:eastAsia="Calibri"/>
                <w:lang w:val="en-US"/>
              </w:rPr>
              <w:t>.</w:t>
            </w:r>
            <w:r w:rsidR="00CF073F" w:rsidRPr="002E07A8">
              <w:rPr>
                <w:rFonts w:eastAsia="Calibri"/>
              </w:rPr>
              <w:t>Е</w:t>
            </w:r>
            <w:r w:rsidR="00CF073F" w:rsidRPr="000C6051">
              <w:rPr>
                <w:rFonts w:eastAsia="Calibri"/>
                <w:lang w:val="en-US"/>
              </w:rPr>
              <w:t xml:space="preserve">. </w:t>
            </w:r>
            <w:r>
              <w:rPr>
                <w:rFonts w:eastAsia="Calibri"/>
                <w:lang w:val="en-US"/>
              </w:rPr>
              <w:t>Didenko</w:t>
            </w:r>
          </w:p>
          <w:p w:rsidR="00CF073F" w:rsidRPr="000C6051" w:rsidRDefault="00CF073F" w:rsidP="00CF073F">
            <w:pPr>
              <w:rPr>
                <w:rFonts w:eastAsia="Calibri"/>
                <w:lang w:val="en-US"/>
              </w:rPr>
            </w:pPr>
            <w:r w:rsidRPr="000C6051">
              <w:rPr>
                <w:rFonts w:eastAsia="Calibri"/>
                <w:lang w:val="en-US"/>
              </w:rPr>
              <w:t>(</w:t>
            </w:r>
            <w:r w:rsidR="000C6051">
              <w:rPr>
                <w:rFonts w:eastAsia="Calibri"/>
                <w:lang w:val="en-US"/>
              </w:rPr>
              <w:t>per procuration</w:t>
            </w:r>
            <w:r w:rsidRPr="000C6051">
              <w:rPr>
                <w:rFonts w:eastAsia="Calibri"/>
                <w:lang w:val="en-US"/>
              </w:rPr>
              <w:t xml:space="preserve"> </w:t>
            </w:r>
            <w:r w:rsidR="000C6051">
              <w:rPr>
                <w:rFonts w:eastAsia="Calibri"/>
                <w:lang w:val="en-US"/>
              </w:rPr>
              <w:t>No.</w:t>
            </w:r>
            <w:r w:rsidRPr="000C6051">
              <w:rPr>
                <w:rFonts w:eastAsia="Calibri"/>
                <w:lang w:val="en-US"/>
              </w:rPr>
              <w:t>23/256-</w:t>
            </w:r>
            <w:r w:rsidRPr="002E07A8">
              <w:rPr>
                <w:rFonts w:eastAsia="Calibri"/>
              </w:rPr>
              <w:t>н</w:t>
            </w:r>
            <w:r w:rsidRPr="000C6051">
              <w:rPr>
                <w:rFonts w:eastAsia="Calibri"/>
                <w:lang w:val="en-US"/>
              </w:rPr>
              <w:t>/23-2020-4-1</w:t>
            </w:r>
            <w:r w:rsidR="000C6051" w:rsidRPr="000C6051">
              <w:rPr>
                <w:rFonts w:eastAsia="Calibri"/>
                <w:lang w:val="en-US"/>
              </w:rPr>
              <w:t xml:space="preserve">30 </w:t>
            </w:r>
            <w:r w:rsidR="000C6051">
              <w:rPr>
                <w:rFonts w:eastAsia="Calibri"/>
                <w:lang w:val="en-US"/>
              </w:rPr>
              <w:t xml:space="preserve">of January </w:t>
            </w:r>
            <w:r w:rsidR="000C6051" w:rsidRPr="000C6051">
              <w:rPr>
                <w:rFonts w:eastAsia="Calibri"/>
                <w:lang w:val="en-US"/>
              </w:rPr>
              <w:t>23</w:t>
            </w:r>
            <w:r w:rsidR="000C6051">
              <w:rPr>
                <w:rFonts w:eastAsia="Calibri"/>
                <w:lang w:val="en-US"/>
              </w:rPr>
              <w:t xml:space="preserve">, </w:t>
            </w:r>
            <w:r w:rsidR="000C6051" w:rsidRPr="000C6051">
              <w:rPr>
                <w:rFonts w:eastAsia="Calibri"/>
                <w:lang w:val="en-US"/>
              </w:rPr>
              <w:t>2020)         (</w:t>
            </w:r>
            <w:r w:rsidR="000C6051">
              <w:rPr>
                <w:rFonts w:eastAsia="Calibri"/>
                <w:lang w:val="en-US"/>
              </w:rPr>
              <w:t>signature</w:t>
            </w:r>
            <w:r w:rsidRPr="000C6051">
              <w:rPr>
                <w:rFonts w:eastAsia="Calibri"/>
                <w:lang w:val="en-US"/>
              </w:rPr>
              <w:t xml:space="preserve">) </w:t>
            </w:r>
          </w:p>
          <w:p w:rsidR="00695C20" w:rsidRPr="000C6051" w:rsidRDefault="00695C20" w:rsidP="00695C20">
            <w:pPr>
              <w:rPr>
                <w:rFonts w:eastAsia="Calibri"/>
                <w:lang w:val="en-US"/>
              </w:rPr>
            </w:pPr>
            <w:r w:rsidRPr="000C6051">
              <w:rPr>
                <w:rFonts w:eastAsia="Calibri"/>
                <w:lang w:val="en-US"/>
              </w:rPr>
              <w:t xml:space="preserve">                 </w:t>
            </w:r>
          </w:p>
          <w:p w:rsidR="00396AAF" w:rsidRPr="000C6051" w:rsidRDefault="00695C20" w:rsidP="000C6051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3.2. </w:t>
            </w:r>
            <w:r w:rsidR="000C60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2E0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9D051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975FB2" w:rsidRPr="002E0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0C60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April</w:t>
            </w:r>
            <w:r w:rsidR="000C60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 </w:t>
            </w:r>
            <w:r w:rsidRPr="002E0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  <w:r w:rsidR="000C60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0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60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:rsidR="00F65154" w:rsidRDefault="00F65154" w:rsidP="001E2514">
      <w:pPr>
        <w:ind w:left="-284"/>
        <w:jc w:val="center"/>
        <w:rPr>
          <w:b/>
          <w:bCs/>
          <w:color w:val="000000"/>
          <w:lang w:val="en-US"/>
        </w:rPr>
      </w:pPr>
    </w:p>
    <w:p w:rsidR="00F65154" w:rsidRDefault="00F65154" w:rsidP="001E2514">
      <w:pPr>
        <w:ind w:left="-284"/>
        <w:jc w:val="center"/>
        <w:rPr>
          <w:b/>
          <w:bCs/>
          <w:color w:val="000000"/>
          <w:lang w:val="en-US"/>
        </w:rPr>
      </w:pPr>
    </w:p>
    <w:p w:rsidR="000C6051" w:rsidRDefault="000C6051" w:rsidP="001E2514">
      <w:pPr>
        <w:ind w:left="-284"/>
        <w:jc w:val="center"/>
        <w:rPr>
          <w:b/>
          <w:bCs/>
          <w:color w:val="000000"/>
          <w:lang w:val="en-US"/>
        </w:rPr>
      </w:pPr>
    </w:p>
    <w:p w:rsidR="00EA7A28" w:rsidRDefault="00EA7A28" w:rsidP="001E2514">
      <w:pPr>
        <w:ind w:left="-284"/>
        <w:jc w:val="center"/>
        <w:rPr>
          <w:b/>
          <w:bCs/>
          <w:color w:val="000000"/>
          <w:lang w:val="en-US"/>
        </w:rPr>
      </w:pPr>
    </w:p>
    <w:p w:rsidR="001E2514" w:rsidRPr="002E07A8" w:rsidRDefault="001E2514" w:rsidP="001E2514">
      <w:pPr>
        <w:ind w:left="-284"/>
        <w:jc w:val="center"/>
        <w:rPr>
          <w:b/>
          <w:bCs/>
          <w:color w:val="000000"/>
        </w:rPr>
      </w:pPr>
      <w:r w:rsidRPr="002E07A8">
        <w:rPr>
          <w:b/>
          <w:bCs/>
          <w:color w:val="000000"/>
        </w:rPr>
        <w:lastRenderedPageBreak/>
        <w:t xml:space="preserve">Сообщение о существенном факте </w:t>
      </w:r>
      <w:r w:rsidRPr="002E07A8">
        <w:rPr>
          <w:b/>
          <w:bCs/>
          <w:color w:val="000000"/>
        </w:rPr>
        <w:br/>
        <w:t>«О проведении заседания совета директоров эмитента и его повестке дня»</w:t>
      </w:r>
    </w:p>
    <w:p w:rsidR="001E2514" w:rsidRPr="002E07A8" w:rsidRDefault="001E2514" w:rsidP="001E2514">
      <w:pPr>
        <w:jc w:val="center"/>
        <w:rPr>
          <w:b/>
          <w:bCs/>
          <w:color w:val="000000"/>
        </w:rPr>
      </w:pPr>
      <w:r w:rsidRPr="002E07A8">
        <w:rPr>
          <w:b/>
          <w:bCs/>
          <w:color w:val="000000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1E2514" w:rsidRPr="002E07A8" w:rsidTr="000C0DF1">
        <w:tc>
          <w:tcPr>
            <w:tcW w:w="10348" w:type="dxa"/>
            <w:gridSpan w:val="2"/>
          </w:tcPr>
          <w:p w:rsidR="001E2514" w:rsidRPr="002E07A8" w:rsidRDefault="001E2514" w:rsidP="000C0DF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1E2514" w:rsidRPr="002E07A8" w:rsidTr="000C0DF1">
        <w:tc>
          <w:tcPr>
            <w:tcW w:w="4395" w:type="dxa"/>
          </w:tcPr>
          <w:p w:rsidR="001E2514" w:rsidRPr="002E07A8" w:rsidRDefault="001E2514" w:rsidP="000C0D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1.1  Полное фирменное наименование эмитента</w:t>
            </w:r>
          </w:p>
        </w:tc>
        <w:tc>
          <w:tcPr>
            <w:tcW w:w="5953" w:type="dxa"/>
          </w:tcPr>
          <w:p w:rsidR="001E2514" w:rsidRPr="002E07A8" w:rsidRDefault="001E2514" w:rsidP="000C0D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Публичное акционерное общество энергетики и электрификации Кубани</w:t>
            </w:r>
          </w:p>
        </w:tc>
      </w:tr>
      <w:tr w:rsidR="001E2514" w:rsidRPr="002E07A8" w:rsidTr="000C0DF1">
        <w:tc>
          <w:tcPr>
            <w:tcW w:w="4395" w:type="dxa"/>
          </w:tcPr>
          <w:p w:rsidR="001E2514" w:rsidRPr="002E07A8" w:rsidRDefault="001E2514" w:rsidP="000C0D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1.2. Сокращенное фирменное название эмитента</w:t>
            </w:r>
          </w:p>
        </w:tc>
        <w:tc>
          <w:tcPr>
            <w:tcW w:w="5953" w:type="dxa"/>
          </w:tcPr>
          <w:p w:rsidR="001E2514" w:rsidRPr="002E07A8" w:rsidRDefault="001E2514" w:rsidP="000C0D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ПАО «Кубаньэнерго»</w:t>
            </w:r>
          </w:p>
        </w:tc>
      </w:tr>
      <w:tr w:rsidR="001E2514" w:rsidRPr="002E07A8" w:rsidTr="000C0DF1">
        <w:tc>
          <w:tcPr>
            <w:tcW w:w="4395" w:type="dxa"/>
          </w:tcPr>
          <w:p w:rsidR="001E2514" w:rsidRPr="002E07A8" w:rsidRDefault="001E2514" w:rsidP="000C0D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953" w:type="dxa"/>
          </w:tcPr>
          <w:p w:rsidR="001E2514" w:rsidRPr="002E07A8" w:rsidRDefault="001E2514" w:rsidP="000C0DF1">
            <w:pPr>
              <w:jc w:val="both"/>
            </w:pPr>
            <w:r w:rsidRPr="002E07A8">
              <w:rPr>
                <w:i/>
              </w:rPr>
              <w:t>Российская Федерация, г. Краснодар</w:t>
            </w:r>
          </w:p>
          <w:p w:rsidR="001E2514" w:rsidRPr="002E07A8" w:rsidRDefault="001E2514" w:rsidP="000C0DF1">
            <w:pPr>
              <w:jc w:val="both"/>
            </w:pPr>
          </w:p>
        </w:tc>
      </w:tr>
      <w:tr w:rsidR="001E2514" w:rsidRPr="002E07A8" w:rsidTr="000C0DF1">
        <w:tc>
          <w:tcPr>
            <w:tcW w:w="4395" w:type="dxa"/>
          </w:tcPr>
          <w:p w:rsidR="001E2514" w:rsidRPr="002E07A8" w:rsidRDefault="001E2514" w:rsidP="000C0D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1.4. ОГРН эмитента</w:t>
            </w:r>
          </w:p>
        </w:tc>
        <w:tc>
          <w:tcPr>
            <w:tcW w:w="5953" w:type="dxa"/>
          </w:tcPr>
          <w:p w:rsidR="001E2514" w:rsidRPr="002E07A8" w:rsidRDefault="001E2514" w:rsidP="000C0D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1E2514" w:rsidRPr="002E07A8" w:rsidTr="000C0DF1">
        <w:tc>
          <w:tcPr>
            <w:tcW w:w="4395" w:type="dxa"/>
          </w:tcPr>
          <w:p w:rsidR="001E2514" w:rsidRPr="002E07A8" w:rsidRDefault="001E2514" w:rsidP="000C0D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1.5. ИНН эмитента</w:t>
            </w:r>
          </w:p>
        </w:tc>
        <w:tc>
          <w:tcPr>
            <w:tcW w:w="5953" w:type="dxa"/>
          </w:tcPr>
          <w:p w:rsidR="001E2514" w:rsidRPr="002E07A8" w:rsidRDefault="001E2514" w:rsidP="000C0D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1E2514" w:rsidRPr="002E07A8" w:rsidTr="000C0DF1">
        <w:tc>
          <w:tcPr>
            <w:tcW w:w="4395" w:type="dxa"/>
          </w:tcPr>
          <w:p w:rsidR="001E2514" w:rsidRPr="002E07A8" w:rsidRDefault="001E2514" w:rsidP="000C0D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953" w:type="dxa"/>
          </w:tcPr>
          <w:p w:rsidR="001E2514" w:rsidRPr="002E07A8" w:rsidRDefault="001E2514" w:rsidP="000C0D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1E2514" w:rsidRPr="002E07A8" w:rsidTr="000C0DF1">
        <w:tc>
          <w:tcPr>
            <w:tcW w:w="4395" w:type="dxa"/>
          </w:tcPr>
          <w:p w:rsidR="001E2514" w:rsidRPr="002E07A8" w:rsidRDefault="001E2514" w:rsidP="000C0D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953" w:type="dxa"/>
          </w:tcPr>
          <w:p w:rsidR="001E2514" w:rsidRPr="002E07A8" w:rsidRDefault="001E2514" w:rsidP="000C0DF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</w:t>
            </w: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hyperlink r:id="rId8" w:history="1"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www</w:t>
              </w:r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2514" w:rsidRPr="002E07A8" w:rsidRDefault="001E2514" w:rsidP="000C0DF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http://www.e-isclosure.ru/portal/company.aspx?id=2827</w:t>
            </w:r>
          </w:p>
          <w:p w:rsidR="001E2514" w:rsidRPr="002E07A8" w:rsidRDefault="001E2514" w:rsidP="000C0DF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E2514" w:rsidRPr="002E07A8" w:rsidTr="000C0DF1">
        <w:tc>
          <w:tcPr>
            <w:tcW w:w="4395" w:type="dxa"/>
          </w:tcPr>
          <w:p w:rsidR="001E2514" w:rsidRPr="002E07A8" w:rsidRDefault="001E2514" w:rsidP="000C0DF1">
            <w:pPr>
              <w:jc w:val="both"/>
            </w:pPr>
            <w:r w:rsidRPr="002E07A8"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953" w:type="dxa"/>
          </w:tcPr>
          <w:p w:rsidR="001E2514" w:rsidRPr="002E07A8" w:rsidRDefault="001E2514" w:rsidP="000C0DF1">
            <w:pPr>
              <w:jc w:val="both"/>
            </w:pPr>
            <w:r>
              <w:t>21</w:t>
            </w:r>
            <w:r w:rsidRPr="002E07A8">
              <w:t>.0</w:t>
            </w:r>
            <w:r>
              <w:t>4</w:t>
            </w:r>
            <w:r w:rsidRPr="002E07A8">
              <w:t>.2020</w:t>
            </w:r>
          </w:p>
        </w:tc>
      </w:tr>
      <w:tr w:rsidR="001E2514" w:rsidRPr="002E07A8" w:rsidTr="000C0DF1">
        <w:tc>
          <w:tcPr>
            <w:tcW w:w="10348" w:type="dxa"/>
            <w:gridSpan w:val="2"/>
          </w:tcPr>
          <w:p w:rsidR="001E2514" w:rsidRPr="002E07A8" w:rsidRDefault="001E2514" w:rsidP="000C0DF1">
            <w:pPr>
              <w:jc w:val="center"/>
            </w:pPr>
            <w:r w:rsidRPr="002E07A8">
              <w:t>2. Содержание сообщения</w:t>
            </w:r>
          </w:p>
        </w:tc>
      </w:tr>
      <w:tr w:rsidR="001E2514" w:rsidRPr="002E07A8" w:rsidTr="000C0DF1">
        <w:tc>
          <w:tcPr>
            <w:tcW w:w="10348" w:type="dxa"/>
            <w:gridSpan w:val="2"/>
          </w:tcPr>
          <w:p w:rsidR="001E2514" w:rsidRPr="002E07A8" w:rsidRDefault="001E2514" w:rsidP="000C0DF1">
            <w:pPr>
              <w:jc w:val="both"/>
            </w:pPr>
            <w:r w:rsidRPr="002E07A8">
              <w:t xml:space="preserve">2.1. </w:t>
            </w:r>
            <w:r w:rsidRPr="002E07A8">
              <w:rPr>
                <w:color w:val="000000"/>
              </w:rPr>
              <w:t xml:space="preserve">Дата принятия председателем совета директоров эмитента решения о проведении    заседания совета директоров эмитента </w:t>
            </w:r>
            <w:r w:rsidRPr="002E07A8">
              <w:rPr>
                <w:b/>
                <w:i/>
                <w:color w:val="000000"/>
              </w:rPr>
              <w:t xml:space="preserve">–  </w:t>
            </w:r>
            <w:r>
              <w:rPr>
                <w:b/>
                <w:i/>
                <w:color w:val="000000"/>
              </w:rPr>
              <w:t>2</w:t>
            </w:r>
            <w:r w:rsidRPr="002E07A8">
              <w:rPr>
                <w:b/>
                <w:i/>
                <w:color w:val="000000"/>
              </w:rPr>
              <w:t>1.0</w:t>
            </w:r>
            <w:r>
              <w:rPr>
                <w:b/>
                <w:i/>
                <w:color w:val="000000"/>
              </w:rPr>
              <w:t>4</w:t>
            </w:r>
            <w:r w:rsidRPr="002E07A8">
              <w:rPr>
                <w:b/>
                <w:i/>
                <w:color w:val="000000"/>
              </w:rPr>
              <w:t>.2020</w:t>
            </w:r>
            <w:r w:rsidRPr="002E07A8">
              <w:rPr>
                <w:b/>
                <w:i/>
              </w:rPr>
              <w:t xml:space="preserve"> года.</w:t>
            </w:r>
          </w:p>
        </w:tc>
      </w:tr>
      <w:tr w:rsidR="001E2514" w:rsidRPr="002E07A8" w:rsidTr="000C0DF1">
        <w:tc>
          <w:tcPr>
            <w:tcW w:w="10348" w:type="dxa"/>
            <w:gridSpan w:val="2"/>
          </w:tcPr>
          <w:p w:rsidR="001E2514" w:rsidRPr="002E07A8" w:rsidRDefault="001E2514" w:rsidP="000C0DF1">
            <w:pPr>
              <w:jc w:val="both"/>
            </w:pPr>
            <w:r w:rsidRPr="002E07A8">
              <w:t>2.2. Д</w:t>
            </w:r>
            <w:r w:rsidRPr="002E07A8">
              <w:rPr>
                <w:color w:val="000000"/>
              </w:rPr>
              <w:t>ата проведения заседания совета директоров эмитента –</w:t>
            </w:r>
            <w:r w:rsidRPr="009D0510">
              <w:rPr>
                <w:b/>
                <w:i/>
                <w:color w:val="000000"/>
              </w:rPr>
              <w:t xml:space="preserve"> 24</w:t>
            </w:r>
            <w:r>
              <w:rPr>
                <w:color w:val="000000"/>
              </w:rPr>
              <w:t xml:space="preserve"> </w:t>
            </w:r>
            <w:r w:rsidRPr="002E07A8">
              <w:rPr>
                <w:b/>
                <w:i/>
                <w:color w:val="000000"/>
              </w:rPr>
              <w:t>а</w:t>
            </w:r>
            <w:r>
              <w:rPr>
                <w:b/>
                <w:i/>
                <w:color w:val="000000"/>
              </w:rPr>
              <w:t>преля</w:t>
            </w:r>
            <w:r w:rsidRPr="002E07A8">
              <w:rPr>
                <w:b/>
                <w:i/>
                <w:color w:val="000000"/>
              </w:rPr>
              <w:t xml:space="preserve"> 2020</w:t>
            </w:r>
            <w:r w:rsidRPr="002E07A8">
              <w:rPr>
                <w:b/>
                <w:i/>
              </w:rPr>
              <w:t xml:space="preserve"> года.</w:t>
            </w:r>
          </w:p>
        </w:tc>
      </w:tr>
      <w:tr w:rsidR="001E2514" w:rsidRPr="002E07A8" w:rsidTr="000C0DF1">
        <w:trPr>
          <w:trHeight w:val="904"/>
        </w:trPr>
        <w:tc>
          <w:tcPr>
            <w:tcW w:w="10348" w:type="dxa"/>
            <w:gridSpan w:val="2"/>
          </w:tcPr>
          <w:p w:rsidR="001E2514" w:rsidRPr="002E07A8" w:rsidRDefault="001E2514" w:rsidP="000C0DF1">
            <w:pPr>
              <w:jc w:val="both"/>
            </w:pPr>
            <w:r w:rsidRPr="002E07A8">
              <w:t xml:space="preserve">2.3. Повестка </w:t>
            </w:r>
            <w:proofErr w:type="gramStart"/>
            <w:r w:rsidRPr="002E07A8">
              <w:t>дня заседания совета директоров эмитента</w:t>
            </w:r>
            <w:proofErr w:type="gramEnd"/>
            <w:r w:rsidRPr="002E07A8">
              <w:t>:</w:t>
            </w:r>
          </w:p>
          <w:p w:rsidR="001E2514" w:rsidRPr="009D0510" w:rsidRDefault="003C2A87" w:rsidP="003C2A87">
            <w:pPr>
              <w:tabs>
                <w:tab w:val="left" w:pos="317"/>
              </w:tabs>
              <w:ind w:left="360"/>
              <w:jc w:val="both"/>
            </w:pPr>
            <w:r w:rsidRPr="003C2A87">
              <w:t xml:space="preserve">1. </w:t>
            </w:r>
            <w:r w:rsidR="001E2514" w:rsidRPr="009D0510">
              <w:t>О созыве годового Общего собрания акционеров Общества, об определении формы и даты его проведения.</w:t>
            </w:r>
          </w:p>
          <w:p w:rsidR="001E2514" w:rsidRPr="009D0510" w:rsidRDefault="003C2A87" w:rsidP="003C2A87">
            <w:pPr>
              <w:tabs>
                <w:tab w:val="left" w:pos="317"/>
              </w:tabs>
              <w:ind w:left="360"/>
              <w:jc w:val="both"/>
              <w:rPr>
                <w:bCs/>
              </w:rPr>
            </w:pPr>
            <w:r w:rsidRPr="003C2A87">
              <w:rPr>
                <w:bCs/>
              </w:rPr>
              <w:t xml:space="preserve">2. </w:t>
            </w:r>
            <w:r w:rsidR="001E2514" w:rsidRPr="009D0510">
              <w:rPr>
                <w:bCs/>
              </w:rPr>
              <w:t>Об утверждении даты определения (фиксации) лиц, имеющих право на участие в годовом Общем собрании акционеров Общества.</w:t>
            </w:r>
          </w:p>
          <w:p w:rsidR="001E2514" w:rsidRPr="009D0510" w:rsidRDefault="003C2A87" w:rsidP="003C2A87">
            <w:pPr>
              <w:tabs>
                <w:tab w:val="left" w:pos="317"/>
              </w:tabs>
              <w:ind w:left="360"/>
              <w:jc w:val="both"/>
            </w:pPr>
            <w:r w:rsidRPr="003C2A87">
              <w:t xml:space="preserve">3. </w:t>
            </w:r>
            <w:r w:rsidR="001E2514" w:rsidRPr="009D0510">
              <w:t xml:space="preserve">Об определении типа (типов) привилегированных акций, владельцы которых обладают правом голоса по вопросам </w:t>
            </w:r>
            <w:proofErr w:type="gramStart"/>
            <w:r w:rsidR="001E2514" w:rsidRPr="009D0510">
              <w:t>повестки дня годового Общего собрания акционеров Общества</w:t>
            </w:r>
            <w:proofErr w:type="gramEnd"/>
            <w:r w:rsidR="001E2514" w:rsidRPr="009D0510">
              <w:t>.</w:t>
            </w:r>
          </w:p>
          <w:p w:rsidR="001E2514" w:rsidRPr="009D0510" w:rsidRDefault="003C2A87" w:rsidP="003C2A87">
            <w:pPr>
              <w:tabs>
                <w:tab w:val="left" w:pos="317"/>
              </w:tabs>
              <w:ind w:left="360"/>
              <w:jc w:val="both"/>
            </w:pPr>
            <w:r w:rsidRPr="003C2A87">
              <w:t xml:space="preserve">4. </w:t>
            </w:r>
            <w:r w:rsidR="001E2514" w:rsidRPr="009D0510">
              <w:t xml:space="preserve">Об утверждении </w:t>
            </w:r>
            <w:proofErr w:type="gramStart"/>
            <w:r w:rsidR="001E2514" w:rsidRPr="009D0510">
              <w:t>повестки дня годового Общего собрания акционеров Общества</w:t>
            </w:r>
            <w:proofErr w:type="gramEnd"/>
            <w:r w:rsidR="001E2514" w:rsidRPr="009D0510">
              <w:t>.</w:t>
            </w:r>
          </w:p>
          <w:p w:rsidR="001E2514" w:rsidRPr="009D0510" w:rsidRDefault="003C2A87" w:rsidP="003C2A87">
            <w:pPr>
              <w:tabs>
                <w:tab w:val="left" w:pos="317"/>
              </w:tabs>
              <w:ind w:left="360"/>
              <w:jc w:val="both"/>
            </w:pPr>
            <w:r w:rsidRPr="003C2A87">
              <w:t xml:space="preserve">5. </w:t>
            </w:r>
            <w:r w:rsidR="001E2514" w:rsidRPr="009D0510">
              <w:t>Об определении перечня информации (материалов), предоставляемой акционерам Общества при подготовке к проведению годового Общего собрания акционеров Общества, и порядка ее предоставления.</w:t>
            </w:r>
          </w:p>
          <w:p w:rsidR="001E2514" w:rsidRPr="009D0510" w:rsidRDefault="003C2A87" w:rsidP="003C2A87">
            <w:pPr>
              <w:tabs>
                <w:tab w:val="left" w:pos="317"/>
              </w:tabs>
              <w:ind w:left="360"/>
              <w:jc w:val="both"/>
            </w:pPr>
            <w:r w:rsidRPr="003C2A87">
              <w:t xml:space="preserve">6. </w:t>
            </w:r>
            <w:r w:rsidR="001E2514" w:rsidRPr="009D0510">
              <w:t>Об определении даты направления бюллетеней для голосования лицам, имеющим право на участие в годовом Общем собрании акционеров Общества, адреса, по которому могут направляться заполненные бюллетени для голосования, и даты окончания приема заполненных бюллетеней для голосования.</w:t>
            </w:r>
          </w:p>
          <w:p w:rsidR="001E2514" w:rsidRPr="009D0510" w:rsidRDefault="003C2A87" w:rsidP="003C2A87">
            <w:pPr>
              <w:tabs>
                <w:tab w:val="left" w:pos="317"/>
              </w:tabs>
              <w:ind w:left="360"/>
              <w:jc w:val="both"/>
            </w:pPr>
            <w:r w:rsidRPr="003C2A87">
              <w:t xml:space="preserve">7. </w:t>
            </w:r>
            <w:r w:rsidR="001E2514" w:rsidRPr="009D0510">
              <w:t>Об определении порядка сообщения акционерам Общества о проведении годового Общего собрания акционеров Общества, в том числе утверждение формы и текста сообщения.</w:t>
            </w:r>
          </w:p>
          <w:p w:rsidR="001E2514" w:rsidRPr="009D0510" w:rsidRDefault="003C2A87" w:rsidP="003C2A87">
            <w:pPr>
              <w:tabs>
                <w:tab w:val="left" w:pos="317"/>
              </w:tabs>
              <w:ind w:left="360"/>
              <w:jc w:val="both"/>
              <w:rPr>
                <w:u w:val="single"/>
              </w:rPr>
            </w:pPr>
            <w:r w:rsidRPr="003C2A87">
              <w:rPr>
                <w:iCs/>
              </w:rPr>
              <w:t xml:space="preserve">8. </w:t>
            </w:r>
            <w:r w:rsidR="001E2514" w:rsidRPr="009D0510">
              <w:rPr>
                <w:iCs/>
              </w:rPr>
              <w:t>Об утверждении условий договора с регистратором Общества.</w:t>
            </w:r>
          </w:p>
          <w:p w:rsidR="001E2514" w:rsidRDefault="001E2514" w:rsidP="000C0DF1">
            <w:pPr>
              <w:tabs>
                <w:tab w:val="left" w:pos="317"/>
              </w:tabs>
              <w:ind w:left="720" w:hanging="545"/>
              <w:jc w:val="both"/>
            </w:pPr>
            <w:r>
              <w:t>Идентификационные признаки ценных бумаг:</w:t>
            </w:r>
          </w:p>
          <w:p w:rsidR="001E2514" w:rsidRPr="002E07A8" w:rsidRDefault="001E2514" w:rsidP="000C0DF1">
            <w:pPr>
              <w:tabs>
                <w:tab w:val="left" w:pos="317"/>
              </w:tabs>
              <w:ind w:left="175"/>
              <w:jc w:val="both"/>
            </w:pPr>
            <w:r>
              <w:t>вид, категория (тип): акция обыкновенная именная государственный регистрационный номер выпуска (дополнительного выпуска) ценных бумаг и дата его государственной регистрации (идентификационный номер выпуска (дополнительного выпуска) ценных бумаг и дата его присвоения): 1-02-00063-A от 08.07.2003 международный код (номер) идентификации ценных бумаг (ISIN) (при наличии): RU0009046767</w:t>
            </w:r>
          </w:p>
        </w:tc>
      </w:tr>
      <w:tr w:rsidR="001E2514" w:rsidRPr="002E07A8" w:rsidTr="000C0DF1">
        <w:tc>
          <w:tcPr>
            <w:tcW w:w="10348" w:type="dxa"/>
            <w:gridSpan w:val="2"/>
          </w:tcPr>
          <w:p w:rsidR="001E2514" w:rsidRPr="002E07A8" w:rsidRDefault="001E2514" w:rsidP="000C0DF1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3. Подпись</w:t>
            </w:r>
          </w:p>
        </w:tc>
      </w:tr>
      <w:tr w:rsidR="001E2514" w:rsidRPr="002E07A8" w:rsidTr="000C0DF1">
        <w:tc>
          <w:tcPr>
            <w:tcW w:w="10348" w:type="dxa"/>
            <w:gridSpan w:val="2"/>
          </w:tcPr>
          <w:p w:rsidR="001E2514" w:rsidRPr="002E07A8" w:rsidRDefault="001E2514" w:rsidP="000C0DF1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>3.1. Начальник департамента</w:t>
            </w:r>
          </w:p>
          <w:p w:rsidR="001E2514" w:rsidRPr="002E07A8" w:rsidRDefault="001E2514" w:rsidP="000C0DF1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 xml:space="preserve">корпоративного управления </w:t>
            </w:r>
          </w:p>
          <w:p w:rsidR="001E2514" w:rsidRPr="002E07A8" w:rsidRDefault="001E2514" w:rsidP="000C0DF1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>и взаимодействия с акционерами                                     ______________________ Е.Е. Диденко</w:t>
            </w:r>
          </w:p>
          <w:p w:rsidR="001E2514" w:rsidRPr="002E07A8" w:rsidRDefault="001E2514" w:rsidP="000C0DF1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 xml:space="preserve">(по доверенности №23/256-н/23-2020-4-130 от 23.01.2020)               (подпись) </w:t>
            </w:r>
          </w:p>
          <w:p w:rsidR="001E2514" w:rsidRPr="002E07A8" w:rsidRDefault="001E2514" w:rsidP="000C0DF1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 xml:space="preserve">                 </w:t>
            </w:r>
          </w:p>
          <w:p w:rsidR="001E2514" w:rsidRPr="002E07A8" w:rsidRDefault="001E2514" w:rsidP="000C0DF1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eastAsia="Calibri" w:hAnsi="Times New Roman" w:cs="Times New Roman"/>
                <w:sz w:val="24"/>
                <w:szCs w:val="24"/>
              </w:rPr>
              <w:t>3.2. Дата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2E0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  <w:r w:rsidRPr="002E0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 г.                         М.П.</w:t>
            </w:r>
          </w:p>
        </w:tc>
      </w:tr>
    </w:tbl>
    <w:p w:rsidR="001820CD" w:rsidRPr="002E07A8" w:rsidRDefault="001820CD" w:rsidP="007E12BB"/>
    <w:sectPr w:rsidR="001820CD" w:rsidRPr="002E07A8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8"/>
  </w:num>
  <w:num w:numId="11">
    <w:abstractNumId w:val="10"/>
  </w:num>
  <w:num w:numId="12">
    <w:abstractNumId w:val="3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3"/>
  </w:num>
  <w:num w:numId="25">
    <w:abstractNumId w:val="41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39"/>
  </w:num>
  <w:num w:numId="31">
    <w:abstractNumId w:val="33"/>
  </w:num>
  <w:num w:numId="32">
    <w:abstractNumId w:val="12"/>
  </w:num>
  <w:num w:numId="33">
    <w:abstractNumId w:val="24"/>
  </w:num>
  <w:num w:numId="34">
    <w:abstractNumId w:val="42"/>
  </w:num>
  <w:num w:numId="35">
    <w:abstractNumId w:val="0"/>
  </w:num>
  <w:num w:numId="36">
    <w:abstractNumId w:val="37"/>
  </w:num>
  <w:num w:numId="37">
    <w:abstractNumId w:val="21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29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6051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B5243"/>
    <w:rsid w:val="001C1DA4"/>
    <w:rsid w:val="001C20FD"/>
    <w:rsid w:val="001C3053"/>
    <w:rsid w:val="001C5B04"/>
    <w:rsid w:val="001C7A7C"/>
    <w:rsid w:val="001D1706"/>
    <w:rsid w:val="001D7D60"/>
    <w:rsid w:val="001E15A3"/>
    <w:rsid w:val="001E2514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07A8"/>
    <w:rsid w:val="002E253E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2A87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63DB0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A6F20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12BB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127A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A64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A28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EF6419"/>
    <w:rsid w:val="00F0330B"/>
    <w:rsid w:val="00F03FA6"/>
    <w:rsid w:val="00F0539A"/>
    <w:rsid w:val="00F10AED"/>
    <w:rsid w:val="00F128AA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5154"/>
    <w:rsid w:val="00F66C34"/>
    <w:rsid w:val="00F7148C"/>
    <w:rsid w:val="00F72168"/>
    <w:rsid w:val="00F7360D"/>
    <w:rsid w:val="00F751E5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B705-214A-4548-A56B-9BD18E0A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39</cp:revision>
  <cp:lastPrinted>2019-12-30T12:58:00Z</cp:lastPrinted>
  <dcterms:created xsi:type="dcterms:W3CDTF">2019-07-19T09:01:00Z</dcterms:created>
  <dcterms:modified xsi:type="dcterms:W3CDTF">2020-06-27T14:51:00Z</dcterms:modified>
</cp:coreProperties>
</file>