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C5" w:rsidRDefault="00C754C5" w:rsidP="000C5339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notification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:rsidR="00C754C5" w:rsidRPr="00C462B4" w:rsidRDefault="00C754C5" w:rsidP="000C5339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 w:rsidRPr="00C462B4">
        <w:rPr>
          <w:b/>
          <w:bCs/>
          <w:color w:val="000000"/>
          <w:sz w:val="26"/>
          <w:szCs w:val="26"/>
          <w:lang w:val="en-US"/>
        </w:rPr>
        <w:t>‘</w:t>
      </w:r>
      <w:r>
        <w:rPr>
          <w:b/>
          <w:bCs/>
          <w:color w:val="000000"/>
          <w:sz w:val="26"/>
          <w:szCs w:val="26"/>
          <w:lang w:val="en-US"/>
        </w:rPr>
        <w:t>For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meeting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the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Issuer</w:t>
      </w:r>
      <w:r w:rsidRPr="00C462B4">
        <w:rPr>
          <w:b/>
          <w:bCs/>
          <w:color w:val="000000"/>
          <w:sz w:val="26"/>
          <w:szCs w:val="26"/>
          <w:lang w:val="en-US"/>
        </w:rPr>
        <w:t>’</w:t>
      </w:r>
      <w:r>
        <w:rPr>
          <w:b/>
          <w:bCs/>
          <w:color w:val="000000"/>
          <w:sz w:val="26"/>
          <w:szCs w:val="26"/>
          <w:lang w:val="en-US"/>
        </w:rPr>
        <w:t>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Board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Directors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and its agenda’</w:t>
      </w:r>
    </w:p>
    <w:p w:rsidR="00C754C5" w:rsidRPr="00D11359" w:rsidRDefault="00C754C5" w:rsidP="00C754C5">
      <w:pPr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EA409F" w:rsidRPr="00EA409F" w:rsidTr="00D11359">
        <w:tc>
          <w:tcPr>
            <w:tcW w:w="10348" w:type="dxa"/>
            <w:gridSpan w:val="2"/>
          </w:tcPr>
          <w:p w:rsidR="00396AAF" w:rsidRPr="00EA409F" w:rsidRDefault="00C754C5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General information</w:t>
            </w:r>
          </w:p>
        </w:tc>
      </w:tr>
      <w:tr w:rsidR="00C754C5" w:rsidRPr="00267BA1" w:rsidTr="00D11359">
        <w:tc>
          <w:tcPr>
            <w:tcW w:w="4254" w:type="dxa"/>
          </w:tcPr>
          <w:p w:rsidR="00C754C5" w:rsidRPr="00C754C5" w:rsidRDefault="00C754C5" w:rsidP="00960701">
            <w:pPr>
              <w:rPr>
                <w:lang w:val="en-US"/>
              </w:rPr>
            </w:pPr>
            <w:r w:rsidRPr="00C754C5">
              <w:rPr>
                <w:lang w:val="en-US"/>
              </w:rPr>
              <w:t>1.1  Full corporate name of the issuer</w:t>
            </w:r>
          </w:p>
        </w:tc>
        <w:tc>
          <w:tcPr>
            <w:tcW w:w="6094" w:type="dxa"/>
          </w:tcPr>
          <w:p w:rsidR="00C754C5" w:rsidRPr="00AB464D" w:rsidRDefault="00C754C5" w:rsidP="001F5400">
            <w:pPr>
              <w:rPr>
                <w:i/>
                <w:lang w:val="en-US"/>
              </w:rPr>
            </w:pPr>
            <w:r w:rsidRPr="00AB464D">
              <w:rPr>
                <w:i/>
                <w:lang w:val="en-US"/>
              </w:rPr>
              <w:t xml:space="preserve">Public Joint Stock Company of Power Industry and Electrification of Kuban </w:t>
            </w:r>
          </w:p>
        </w:tc>
      </w:tr>
      <w:tr w:rsidR="00C754C5" w:rsidRPr="00EA409F" w:rsidTr="00D11359">
        <w:tc>
          <w:tcPr>
            <w:tcW w:w="4254" w:type="dxa"/>
          </w:tcPr>
          <w:p w:rsidR="00C754C5" w:rsidRPr="00C754C5" w:rsidRDefault="00C754C5" w:rsidP="00960701">
            <w:pPr>
              <w:rPr>
                <w:lang w:val="en-US"/>
              </w:rPr>
            </w:pPr>
            <w:r w:rsidRPr="00C754C5">
              <w:rPr>
                <w:lang w:val="en-US"/>
              </w:rPr>
              <w:t>1.2. Short name of the issuer</w:t>
            </w:r>
          </w:p>
        </w:tc>
        <w:tc>
          <w:tcPr>
            <w:tcW w:w="6094" w:type="dxa"/>
          </w:tcPr>
          <w:p w:rsidR="00C754C5" w:rsidRPr="00AB464D" w:rsidRDefault="00C754C5" w:rsidP="001F5400">
            <w:pPr>
              <w:rPr>
                <w:i/>
              </w:rPr>
            </w:pPr>
            <w:r w:rsidRPr="00AB464D">
              <w:rPr>
                <w:i/>
              </w:rPr>
              <w:t>PJSC Kubanenergo</w:t>
            </w:r>
          </w:p>
        </w:tc>
      </w:tr>
      <w:tr w:rsidR="00C754C5" w:rsidRPr="00EA409F" w:rsidTr="00D11359">
        <w:tc>
          <w:tcPr>
            <w:tcW w:w="4254" w:type="dxa"/>
          </w:tcPr>
          <w:p w:rsidR="00C754C5" w:rsidRPr="00C754C5" w:rsidRDefault="00C754C5" w:rsidP="00960701">
            <w:pPr>
              <w:rPr>
                <w:lang w:val="en-US"/>
              </w:rPr>
            </w:pPr>
            <w:r w:rsidRPr="00C754C5">
              <w:rPr>
                <w:lang w:val="en-US"/>
              </w:rPr>
              <w:t>1.3. Registered office of the issuer</w:t>
            </w:r>
          </w:p>
        </w:tc>
        <w:tc>
          <w:tcPr>
            <w:tcW w:w="6094" w:type="dxa"/>
          </w:tcPr>
          <w:p w:rsidR="00C754C5" w:rsidRPr="00AB464D" w:rsidRDefault="00AB464D" w:rsidP="001F5400">
            <w:pPr>
              <w:rPr>
                <w:i/>
              </w:rPr>
            </w:pPr>
            <w:r>
              <w:rPr>
                <w:i/>
                <w:lang w:val="en-US"/>
              </w:rPr>
              <w:t>t</w:t>
            </w:r>
            <w:r w:rsidR="00C754C5" w:rsidRPr="00AB464D">
              <w:rPr>
                <w:i/>
              </w:rPr>
              <w:t>he Russian Federation, Krasnodar</w:t>
            </w:r>
          </w:p>
        </w:tc>
      </w:tr>
      <w:tr w:rsidR="00C754C5" w:rsidRPr="00EA409F" w:rsidTr="00D11359">
        <w:tc>
          <w:tcPr>
            <w:tcW w:w="4254" w:type="dxa"/>
          </w:tcPr>
          <w:p w:rsidR="00C754C5" w:rsidRPr="00685B5C" w:rsidRDefault="00C754C5" w:rsidP="00960701">
            <w:r w:rsidRPr="00685B5C">
              <w:t>1.4. PSRN of the issuer</w:t>
            </w:r>
          </w:p>
        </w:tc>
        <w:tc>
          <w:tcPr>
            <w:tcW w:w="6094" w:type="dxa"/>
          </w:tcPr>
          <w:p w:rsidR="00C754C5" w:rsidRPr="00EA409F" w:rsidRDefault="00C754C5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A409F">
              <w:rPr>
                <w:rFonts w:ascii="Times New Roman" w:hAnsi="Times New Roman" w:cs="Times New Roman"/>
                <w:i/>
                <w:sz w:val="25"/>
                <w:szCs w:val="25"/>
              </w:rPr>
              <w:t>1022301427268</w:t>
            </w:r>
          </w:p>
        </w:tc>
      </w:tr>
      <w:tr w:rsidR="00C754C5" w:rsidRPr="00EA409F" w:rsidTr="00D11359">
        <w:tc>
          <w:tcPr>
            <w:tcW w:w="4254" w:type="dxa"/>
          </w:tcPr>
          <w:p w:rsidR="00C754C5" w:rsidRPr="00685B5C" w:rsidRDefault="00C754C5" w:rsidP="00960701">
            <w:r w:rsidRPr="00685B5C">
              <w:t>1.5. TIN of the issuer</w:t>
            </w:r>
          </w:p>
        </w:tc>
        <w:tc>
          <w:tcPr>
            <w:tcW w:w="6094" w:type="dxa"/>
          </w:tcPr>
          <w:p w:rsidR="00C754C5" w:rsidRPr="00EA409F" w:rsidRDefault="00C754C5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A409F">
              <w:rPr>
                <w:rFonts w:ascii="Times New Roman" w:hAnsi="Times New Roman" w:cs="Times New Roman"/>
                <w:i/>
                <w:sz w:val="25"/>
                <w:szCs w:val="25"/>
              </w:rPr>
              <w:t>2309001660</w:t>
            </w:r>
          </w:p>
        </w:tc>
      </w:tr>
      <w:tr w:rsidR="00C754C5" w:rsidRPr="00EA409F" w:rsidTr="00D11359">
        <w:tc>
          <w:tcPr>
            <w:tcW w:w="4254" w:type="dxa"/>
          </w:tcPr>
          <w:p w:rsidR="00C754C5" w:rsidRPr="00C754C5" w:rsidRDefault="00C754C5" w:rsidP="00960701">
            <w:pPr>
              <w:rPr>
                <w:lang w:val="en-US"/>
              </w:rPr>
            </w:pPr>
            <w:r w:rsidRPr="00C754C5">
              <w:rPr>
                <w:lang w:val="en-US"/>
              </w:rPr>
              <w:t>1.6. Unique code of the issuer assigned by the registration body</w:t>
            </w:r>
          </w:p>
        </w:tc>
        <w:tc>
          <w:tcPr>
            <w:tcW w:w="6094" w:type="dxa"/>
          </w:tcPr>
          <w:p w:rsidR="00C754C5" w:rsidRPr="00EA409F" w:rsidRDefault="00C754C5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A409F">
              <w:rPr>
                <w:rFonts w:ascii="Times New Roman" w:hAnsi="Times New Roman" w:cs="Times New Roman"/>
                <w:i/>
                <w:sz w:val="25"/>
                <w:szCs w:val="25"/>
              </w:rPr>
              <w:t>00063-А</w:t>
            </w:r>
          </w:p>
        </w:tc>
      </w:tr>
      <w:tr w:rsidR="00C754C5" w:rsidRPr="00267BA1" w:rsidTr="00D11359">
        <w:tc>
          <w:tcPr>
            <w:tcW w:w="4254" w:type="dxa"/>
          </w:tcPr>
          <w:p w:rsidR="00C754C5" w:rsidRPr="00C754C5" w:rsidRDefault="00C754C5" w:rsidP="00960701">
            <w:pPr>
              <w:rPr>
                <w:lang w:val="en-US"/>
              </w:rPr>
            </w:pPr>
            <w:r w:rsidRPr="00C754C5">
              <w:rPr>
                <w:lang w:val="en-US"/>
              </w:rPr>
              <w:t>1.7. URL used by the issuer for information disclosure</w:t>
            </w:r>
          </w:p>
        </w:tc>
        <w:tc>
          <w:tcPr>
            <w:tcW w:w="6094" w:type="dxa"/>
          </w:tcPr>
          <w:p w:rsidR="00C754C5" w:rsidRPr="00267BA1" w:rsidRDefault="00C754C5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</w:pPr>
            <w:r w:rsidRPr="00EA409F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http</w:t>
            </w:r>
            <w:r w:rsidRPr="00267BA1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://</w:t>
            </w:r>
            <w:hyperlink r:id="rId7" w:history="1">
              <w:r w:rsidRPr="00EA409F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www</w:t>
              </w:r>
              <w:r w:rsidRPr="00267BA1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.</w:t>
              </w:r>
              <w:r w:rsidRPr="00EA409F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kubanenergo</w:t>
              </w:r>
              <w:r w:rsidRPr="00267BA1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.</w:t>
              </w:r>
              <w:r w:rsidRPr="00EA409F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ru</w:t>
              </w:r>
            </w:hyperlink>
            <w:r w:rsidRPr="00267BA1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,</w:t>
            </w:r>
          </w:p>
          <w:p w:rsidR="00C754C5" w:rsidRPr="00267BA1" w:rsidRDefault="00C754C5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</w:pPr>
            <w:r w:rsidRPr="00267BA1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http://www.e-isclosure.ru/portal/company.aspx?id=2827</w:t>
            </w:r>
          </w:p>
          <w:p w:rsidR="00C754C5" w:rsidRPr="00267BA1" w:rsidRDefault="00C754C5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</w:pPr>
          </w:p>
        </w:tc>
      </w:tr>
      <w:tr w:rsidR="00C754C5" w:rsidRPr="00EA409F" w:rsidTr="00D11359">
        <w:tc>
          <w:tcPr>
            <w:tcW w:w="4254" w:type="dxa"/>
          </w:tcPr>
          <w:p w:rsidR="00C754C5" w:rsidRPr="00C754C5" w:rsidRDefault="00C754C5" w:rsidP="00960701">
            <w:pPr>
              <w:rPr>
                <w:lang w:val="en-US"/>
              </w:rPr>
            </w:pPr>
            <w:r w:rsidRPr="00C754C5">
              <w:rPr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6094" w:type="dxa"/>
          </w:tcPr>
          <w:p w:rsidR="00C754C5" w:rsidRPr="00EA409F" w:rsidRDefault="00AB464D" w:rsidP="003350B6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 xml:space="preserve">March 4, </w:t>
            </w:r>
            <w:r w:rsidR="00C754C5" w:rsidRPr="00EA409F">
              <w:rPr>
                <w:sz w:val="25"/>
                <w:szCs w:val="25"/>
              </w:rPr>
              <w:t>2020</w:t>
            </w:r>
          </w:p>
        </w:tc>
      </w:tr>
      <w:tr w:rsidR="00EA409F" w:rsidRPr="00EA409F" w:rsidTr="00D11359">
        <w:tc>
          <w:tcPr>
            <w:tcW w:w="10348" w:type="dxa"/>
            <w:gridSpan w:val="2"/>
          </w:tcPr>
          <w:p w:rsidR="00396AAF" w:rsidRPr="00C754C5" w:rsidRDefault="00396AAF" w:rsidP="00C754C5">
            <w:pPr>
              <w:jc w:val="center"/>
              <w:rPr>
                <w:sz w:val="25"/>
                <w:szCs w:val="25"/>
                <w:lang w:val="en-US"/>
              </w:rPr>
            </w:pPr>
            <w:r w:rsidRPr="00EA409F">
              <w:rPr>
                <w:sz w:val="25"/>
                <w:szCs w:val="25"/>
              </w:rPr>
              <w:t xml:space="preserve">2. </w:t>
            </w:r>
            <w:r w:rsidR="00C754C5">
              <w:rPr>
                <w:sz w:val="25"/>
                <w:szCs w:val="25"/>
                <w:lang w:val="en-US"/>
              </w:rPr>
              <w:t>Notification content</w:t>
            </w:r>
          </w:p>
        </w:tc>
      </w:tr>
      <w:tr w:rsidR="00EA409F" w:rsidRPr="00267BA1" w:rsidTr="00D11359">
        <w:tc>
          <w:tcPr>
            <w:tcW w:w="10348" w:type="dxa"/>
            <w:gridSpan w:val="2"/>
          </w:tcPr>
          <w:p w:rsidR="00396AAF" w:rsidRPr="00AB464D" w:rsidRDefault="00396AAF" w:rsidP="003350B6">
            <w:pPr>
              <w:jc w:val="both"/>
              <w:rPr>
                <w:sz w:val="25"/>
                <w:szCs w:val="25"/>
                <w:lang w:val="en-US"/>
              </w:rPr>
            </w:pPr>
            <w:r w:rsidRPr="00AB464D">
              <w:rPr>
                <w:sz w:val="25"/>
                <w:szCs w:val="25"/>
                <w:lang w:val="en-US"/>
              </w:rPr>
              <w:t xml:space="preserve">2.1. </w:t>
            </w:r>
            <w:r w:rsidR="00AB464D" w:rsidRPr="00E10C1A">
              <w:rPr>
                <w:sz w:val="25"/>
                <w:szCs w:val="25"/>
                <w:lang w:val="en-US"/>
              </w:rPr>
              <w:t xml:space="preserve">The date of decision by the Chairman </w:t>
            </w:r>
            <w:r w:rsidR="00AB464D" w:rsidRPr="00E10C1A">
              <w:rPr>
                <w:bCs/>
                <w:color w:val="000000"/>
                <w:sz w:val="25"/>
                <w:szCs w:val="25"/>
                <w:lang w:val="en-US"/>
              </w:rPr>
              <w:t>of the Issuer’s Board of Directors to conduct the meeting of the Issuer’s Board of Directors</w:t>
            </w:r>
            <w:r w:rsidR="00AB464D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AB464D">
              <w:rPr>
                <w:b/>
                <w:i/>
                <w:sz w:val="25"/>
                <w:szCs w:val="25"/>
                <w:lang w:val="en-US"/>
              </w:rPr>
              <w:t>–</w:t>
            </w:r>
            <w:r w:rsidR="00AB464D">
              <w:rPr>
                <w:b/>
                <w:i/>
                <w:sz w:val="25"/>
                <w:szCs w:val="25"/>
                <w:lang w:val="en-US"/>
              </w:rPr>
              <w:t xml:space="preserve"> </w:t>
            </w:r>
            <w:r w:rsidR="00AB464D" w:rsidRPr="00AB464D">
              <w:rPr>
                <w:b/>
                <w:i/>
                <w:sz w:val="25"/>
                <w:szCs w:val="25"/>
                <w:lang w:val="en-US"/>
              </w:rPr>
              <w:t>March 4, 2020.</w:t>
            </w:r>
          </w:p>
        </w:tc>
      </w:tr>
      <w:tr w:rsidR="00EA409F" w:rsidRPr="00267BA1" w:rsidTr="00D11359">
        <w:tc>
          <w:tcPr>
            <w:tcW w:w="10348" w:type="dxa"/>
            <w:gridSpan w:val="2"/>
          </w:tcPr>
          <w:p w:rsidR="00396AAF" w:rsidRPr="00AB464D" w:rsidRDefault="00396AAF" w:rsidP="00AB464D">
            <w:pPr>
              <w:jc w:val="both"/>
              <w:rPr>
                <w:sz w:val="25"/>
                <w:szCs w:val="25"/>
                <w:lang w:val="en-US"/>
              </w:rPr>
            </w:pPr>
            <w:r w:rsidRPr="00AB464D">
              <w:rPr>
                <w:sz w:val="25"/>
                <w:szCs w:val="25"/>
                <w:lang w:val="en-US"/>
              </w:rPr>
              <w:t xml:space="preserve">2.2. </w:t>
            </w:r>
            <w:r w:rsidR="00AB464D" w:rsidRPr="00E10C1A">
              <w:rPr>
                <w:sz w:val="25"/>
                <w:szCs w:val="25"/>
                <w:lang w:val="en-US"/>
              </w:rPr>
              <w:t xml:space="preserve">The date for conducting the meeting of the Issuer’s Board of Directors </w:t>
            </w:r>
            <w:r w:rsidR="008F36F1" w:rsidRPr="00AB464D">
              <w:rPr>
                <w:sz w:val="25"/>
                <w:szCs w:val="25"/>
                <w:lang w:val="en-US"/>
              </w:rPr>
              <w:t xml:space="preserve">– </w:t>
            </w:r>
            <w:r w:rsidR="00AB464D">
              <w:rPr>
                <w:b/>
                <w:i/>
                <w:sz w:val="25"/>
                <w:szCs w:val="25"/>
                <w:lang w:val="en-US"/>
              </w:rPr>
              <w:t>March</w:t>
            </w:r>
            <w:r w:rsidR="00AB464D" w:rsidRPr="00AB464D">
              <w:rPr>
                <w:b/>
                <w:i/>
                <w:sz w:val="25"/>
                <w:szCs w:val="25"/>
                <w:lang w:val="en-US"/>
              </w:rPr>
              <w:t xml:space="preserve"> 6,</w:t>
            </w:r>
            <w:r w:rsidR="00EF54C2" w:rsidRPr="00AB464D">
              <w:rPr>
                <w:b/>
                <w:i/>
                <w:sz w:val="25"/>
                <w:szCs w:val="25"/>
                <w:lang w:val="en-US"/>
              </w:rPr>
              <w:t xml:space="preserve"> </w:t>
            </w:r>
            <w:r w:rsidR="00952ED0" w:rsidRPr="00AB464D">
              <w:rPr>
                <w:b/>
                <w:i/>
                <w:sz w:val="25"/>
                <w:szCs w:val="25"/>
                <w:lang w:val="en-US"/>
              </w:rPr>
              <w:t>20</w:t>
            </w:r>
            <w:r w:rsidR="00695C20" w:rsidRPr="00AB464D">
              <w:rPr>
                <w:b/>
                <w:i/>
                <w:sz w:val="25"/>
                <w:szCs w:val="25"/>
                <w:lang w:val="en-US"/>
              </w:rPr>
              <w:t>20</w:t>
            </w:r>
            <w:r w:rsidR="00AB464D" w:rsidRPr="00AB464D">
              <w:rPr>
                <w:b/>
                <w:i/>
                <w:sz w:val="25"/>
                <w:szCs w:val="25"/>
                <w:lang w:val="en-US"/>
              </w:rPr>
              <w:t>.</w:t>
            </w:r>
          </w:p>
        </w:tc>
      </w:tr>
      <w:tr w:rsidR="00EA409F" w:rsidRPr="00267BA1" w:rsidTr="002654E9">
        <w:trPr>
          <w:trHeight w:val="1183"/>
        </w:trPr>
        <w:tc>
          <w:tcPr>
            <w:tcW w:w="10348" w:type="dxa"/>
            <w:gridSpan w:val="2"/>
          </w:tcPr>
          <w:p w:rsidR="00396AAF" w:rsidRPr="00AB464D" w:rsidRDefault="00396AAF" w:rsidP="00D11359">
            <w:pPr>
              <w:jc w:val="both"/>
              <w:rPr>
                <w:sz w:val="25"/>
                <w:szCs w:val="25"/>
                <w:lang w:val="en-US"/>
              </w:rPr>
            </w:pPr>
            <w:r w:rsidRPr="00AB464D">
              <w:rPr>
                <w:sz w:val="25"/>
                <w:szCs w:val="25"/>
                <w:lang w:val="en-US"/>
              </w:rPr>
              <w:t>2.3.</w:t>
            </w:r>
            <w:r w:rsidR="00AB464D" w:rsidRPr="00E10C1A">
              <w:rPr>
                <w:sz w:val="25"/>
                <w:szCs w:val="25"/>
                <w:lang w:val="en-US"/>
              </w:rPr>
              <w:t xml:space="preserve"> Agenda of the meeting of the Issuer’s Board of Directors</w:t>
            </w:r>
            <w:r w:rsidRPr="00AB464D">
              <w:rPr>
                <w:sz w:val="25"/>
                <w:szCs w:val="25"/>
                <w:lang w:val="en-US"/>
              </w:rPr>
              <w:t>:</w:t>
            </w:r>
          </w:p>
          <w:p w:rsidR="00163E7A" w:rsidRPr="00EA409F" w:rsidRDefault="00163E7A" w:rsidP="00EA409F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 w:rsidRPr="00EA409F">
              <w:rPr>
                <w:bCs/>
                <w:sz w:val="25"/>
                <w:szCs w:val="25"/>
                <w:lang w:val="en-US"/>
              </w:rPr>
              <w:t xml:space="preserve">On consideration of </w:t>
            </w:r>
            <w:r w:rsidR="00EA409F" w:rsidRPr="00EA409F">
              <w:rPr>
                <w:bCs/>
                <w:sz w:val="25"/>
                <w:szCs w:val="25"/>
                <w:lang w:val="en-US"/>
              </w:rPr>
              <w:t>shareholder proposals on placing agenda items of the Annual General Meeting of Shareholders of the Company and nomination of candidates</w:t>
            </w:r>
            <w:r w:rsidR="00066E0C">
              <w:rPr>
                <w:bCs/>
                <w:sz w:val="25"/>
                <w:szCs w:val="25"/>
                <w:lang w:val="en-US"/>
              </w:rPr>
              <w:t xml:space="preserve"> to the Management and Supervisory Boards of the Company.</w:t>
            </w:r>
          </w:p>
          <w:p w:rsidR="009D22E2" w:rsidRPr="0016655C" w:rsidRDefault="00066E0C" w:rsidP="0016655C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The determination of the date of the meeting of the Board of Directors on consideration of the issues surrounding the</w:t>
            </w:r>
            <w:r w:rsidR="0016655C" w:rsidRPr="0016655C">
              <w:rPr>
                <w:sz w:val="25"/>
                <w:szCs w:val="25"/>
                <w:lang w:val="en-US"/>
              </w:rPr>
              <w:t xml:space="preserve"> </w:t>
            </w:r>
            <w:r w:rsidR="0016655C">
              <w:rPr>
                <w:sz w:val="25"/>
                <w:szCs w:val="25"/>
                <w:lang w:val="en-US"/>
              </w:rPr>
              <w:t>preparation for the</w:t>
            </w:r>
            <w:r>
              <w:rPr>
                <w:sz w:val="25"/>
                <w:szCs w:val="25"/>
                <w:lang w:val="en-US"/>
              </w:rPr>
              <w:t xml:space="preserve"> </w:t>
            </w:r>
            <w:r w:rsidR="0016655C" w:rsidRPr="00EA409F">
              <w:rPr>
                <w:bCs/>
                <w:sz w:val="25"/>
                <w:szCs w:val="25"/>
                <w:lang w:val="en-US"/>
              </w:rPr>
              <w:t>Annual General Meeting of Shareholders of the Company</w:t>
            </w:r>
            <w:r w:rsidR="0016655C">
              <w:rPr>
                <w:bCs/>
                <w:sz w:val="25"/>
                <w:szCs w:val="25"/>
                <w:lang w:val="en-US"/>
              </w:rPr>
              <w:t>.</w:t>
            </w:r>
          </w:p>
        </w:tc>
      </w:tr>
      <w:tr w:rsidR="00EA409F" w:rsidRPr="00EA409F" w:rsidTr="00D11359">
        <w:tc>
          <w:tcPr>
            <w:tcW w:w="10348" w:type="dxa"/>
            <w:gridSpan w:val="2"/>
          </w:tcPr>
          <w:p w:rsidR="00396AAF" w:rsidRPr="00AB464D" w:rsidRDefault="00396AAF" w:rsidP="00AB464D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EA409F">
              <w:rPr>
                <w:rFonts w:ascii="Times New Roman" w:hAnsi="Times New Roman" w:cs="Times New Roman"/>
                <w:sz w:val="25"/>
                <w:szCs w:val="25"/>
              </w:rPr>
              <w:t xml:space="preserve">3. </w:t>
            </w:r>
            <w:r w:rsidR="00AB464D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Signature</w:t>
            </w:r>
          </w:p>
        </w:tc>
      </w:tr>
      <w:tr w:rsidR="00EA409F" w:rsidRPr="00EA409F" w:rsidTr="00D11359">
        <w:tc>
          <w:tcPr>
            <w:tcW w:w="10348" w:type="dxa"/>
            <w:gridSpan w:val="2"/>
          </w:tcPr>
          <w:p w:rsidR="00AB464D" w:rsidRPr="00856D9F" w:rsidRDefault="00695C20" w:rsidP="00AB464D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267BA1">
              <w:rPr>
                <w:rFonts w:eastAsia="Calibri"/>
                <w:sz w:val="25"/>
                <w:szCs w:val="25"/>
                <w:lang w:val="en-US"/>
              </w:rPr>
              <w:t xml:space="preserve">3.1. </w:t>
            </w:r>
            <w:r w:rsidR="00AB464D" w:rsidRPr="00856D9F">
              <w:rPr>
                <w:rFonts w:eastAsia="Calibri"/>
                <w:sz w:val="25"/>
                <w:szCs w:val="25"/>
                <w:lang w:val="en-US"/>
              </w:rPr>
              <w:t xml:space="preserve">Head of Corporate Management </w:t>
            </w:r>
          </w:p>
          <w:p w:rsidR="00CF073F" w:rsidRPr="00AB464D" w:rsidRDefault="00AB464D" w:rsidP="00AB464D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856D9F">
              <w:rPr>
                <w:rFonts w:eastAsia="Calibri"/>
                <w:sz w:val="25"/>
                <w:szCs w:val="25"/>
                <w:lang w:val="en-US"/>
              </w:rPr>
              <w:t xml:space="preserve">and Shareholders’ </w:t>
            </w:r>
            <w:r>
              <w:rPr>
                <w:rFonts w:eastAsia="Calibri"/>
                <w:sz w:val="25"/>
                <w:szCs w:val="25"/>
                <w:lang w:val="en-US"/>
              </w:rPr>
              <w:t>A</w:t>
            </w:r>
            <w:r w:rsidRPr="00856D9F">
              <w:rPr>
                <w:rFonts w:eastAsia="Calibri"/>
                <w:sz w:val="25"/>
                <w:szCs w:val="25"/>
                <w:lang w:val="en-US"/>
              </w:rPr>
              <w:t>rrangements Department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                   </w:t>
            </w:r>
            <w:r w:rsidRPr="00AB464D">
              <w:rPr>
                <w:rFonts w:eastAsia="Calibri"/>
                <w:sz w:val="25"/>
                <w:szCs w:val="25"/>
                <w:lang w:val="en-US"/>
              </w:rPr>
              <w:t xml:space="preserve">______________________ </w:t>
            </w:r>
            <w:r>
              <w:rPr>
                <w:rFonts w:eastAsia="Calibri"/>
                <w:sz w:val="25"/>
                <w:szCs w:val="25"/>
              </w:rPr>
              <w:t>Е</w:t>
            </w:r>
            <w:r w:rsidRPr="00AB464D">
              <w:rPr>
                <w:rFonts w:eastAsia="Calibri"/>
                <w:sz w:val="25"/>
                <w:szCs w:val="25"/>
                <w:lang w:val="en-US"/>
              </w:rPr>
              <w:t>.</w:t>
            </w:r>
            <w:r>
              <w:rPr>
                <w:rFonts w:eastAsia="Calibri"/>
                <w:sz w:val="25"/>
                <w:szCs w:val="25"/>
              </w:rPr>
              <w:t>Е</w:t>
            </w:r>
            <w:r w:rsidRPr="00AB464D">
              <w:rPr>
                <w:rFonts w:eastAsia="Calibri"/>
                <w:sz w:val="25"/>
                <w:szCs w:val="25"/>
                <w:lang w:val="en-US"/>
              </w:rPr>
              <w:t xml:space="preserve">. </w:t>
            </w:r>
            <w:r>
              <w:rPr>
                <w:rFonts w:eastAsia="Calibri"/>
                <w:sz w:val="25"/>
                <w:szCs w:val="25"/>
                <w:lang w:val="en-US"/>
              </w:rPr>
              <w:t>Didenko</w:t>
            </w:r>
          </w:p>
          <w:p w:rsidR="00CF073F" w:rsidRPr="00AB464D" w:rsidRDefault="00CF073F" w:rsidP="00CF073F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AB464D">
              <w:rPr>
                <w:rFonts w:eastAsia="Calibri"/>
                <w:sz w:val="25"/>
                <w:szCs w:val="25"/>
                <w:lang w:val="en-US"/>
              </w:rPr>
              <w:t>(</w:t>
            </w:r>
            <w:r w:rsidR="00AB464D">
              <w:rPr>
                <w:rFonts w:eastAsia="Calibri"/>
                <w:sz w:val="25"/>
                <w:szCs w:val="25"/>
                <w:lang w:val="en-US"/>
              </w:rPr>
              <w:t>per procuration</w:t>
            </w:r>
            <w:r w:rsidRPr="00AB464D">
              <w:rPr>
                <w:rFonts w:eastAsia="Calibri"/>
                <w:sz w:val="25"/>
                <w:szCs w:val="25"/>
                <w:lang w:val="en-US"/>
              </w:rPr>
              <w:t xml:space="preserve"> №23/256-</w:t>
            </w:r>
            <w:r w:rsidRPr="00EA409F">
              <w:rPr>
                <w:rFonts w:eastAsia="Calibri"/>
                <w:sz w:val="25"/>
                <w:szCs w:val="25"/>
              </w:rPr>
              <w:t>н</w:t>
            </w:r>
            <w:r w:rsidRPr="00AB464D">
              <w:rPr>
                <w:rFonts w:eastAsia="Calibri"/>
                <w:sz w:val="25"/>
                <w:szCs w:val="25"/>
                <w:lang w:val="en-US"/>
              </w:rPr>
              <w:t xml:space="preserve">/23-2020-4-130 </w:t>
            </w:r>
            <w:r w:rsidR="00AB464D">
              <w:rPr>
                <w:rFonts w:eastAsia="Calibri"/>
                <w:sz w:val="25"/>
                <w:szCs w:val="25"/>
                <w:lang w:val="en-US"/>
              </w:rPr>
              <w:t>of January</w:t>
            </w:r>
            <w:r w:rsidRPr="00AB464D">
              <w:rPr>
                <w:rFonts w:eastAsia="Calibri"/>
                <w:sz w:val="25"/>
                <w:szCs w:val="25"/>
                <w:lang w:val="en-US"/>
              </w:rPr>
              <w:t xml:space="preserve"> 23</w:t>
            </w:r>
            <w:r w:rsidR="00AB464D">
              <w:rPr>
                <w:rFonts w:eastAsia="Calibri"/>
                <w:sz w:val="25"/>
                <w:szCs w:val="25"/>
                <w:lang w:val="en-US"/>
              </w:rPr>
              <w:t xml:space="preserve">, </w:t>
            </w:r>
            <w:r w:rsidR="00267BA1">
              <w:rPr>
                <w:rFonts w:eastAsia="Calibri"/>
                <w:sz w:val="25"/>
                <w:szCs w:val="25"/>
                <w:lang w:val="en-US"/>
              </w:rPr>
              <w:t xml:space="preserve">2020)         </w:t>
            </w:r>
            <w:bookmarkStart w:id="0" w:name="_GoBack"/>
            <w:bookmarkEnd w:id="0"/>
            <w:r w:rsidRPr="00AB464D">
              <w:rPr>
                <w:rFonts w:eastAsia="Calibri"/>
                <w:sz w:val="25"/>
                <w:szCs w:val="25"/>
                <w:lang w:val="en-US"/>
              </w:rPr>
              <w:t>(</w:t>
            </w:r>
            <w:r w:rsidR="00AB464D">
              <w:rPr>
                <w:rFonts w:eastAsia="Calibri"/>
                <w:sz w:val="25"/>
                <w:szCs w:val="25"/>
                <w:lang w:val="en-US"/>
              </w:rPr>
              <w:t>signature</w:t>
            </w:r>
            <w:r w:rsidRPr="00AB464D">
              <w:rPr>
                <w:rFonts w:eastAsia="Calibri"/>
                <w:sz w:val="25"/>
                <w:szCs w:val="25"/>
                <w:lang w:val="en-US"/>
              </w:rPr>
              <w:t xml:space="preserve">) </w:t>
            </w:r>
          </w:p>
          <w:p w:rsidR="00695C20" w:rsidRPr="00AB464D" w:rsidRDefault="00695C20" w:rsidP="00695C20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AB464D">
              <w:rPr>
                <w:rFonts w:eastAsia="Calibri"/>
                <w:sz w:val="25"/>
                <w:szCs w:val="25"/>
                <w:lang w:val="en-US"/>
              </w:rPr>
              <w:t xml:space="preserve">                 </w:t>
            </w:r>
          </w:p>
          <w:p w:rsidR="00396AAF" w:rsidRPr="00AB464D" w:rsidRDefault="00695C20" w:rsidP="00AB464D">
            <w:pPr>
              <w:pStyle w:val="a3"/>
              <w:ind w:left="176" w:hanging="176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EA409F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3.2. </w:t>
            </w:r>
            <w:r w:rsidR="00AB464D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Date</w:t>
            </w:r>
            <w:r w:rsidR="00AB464D" w:rsidRPr="00AB464D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r w:rsidRPr="00EA409F">
              <w:rPr>
                <w:rFonts w:ascii="Times New Roman" w:eastAsia="Calibri" w:hAnsi="Times New Roman" w:cs="Times New Roman"/>
                <w:sz w:val="25"/>
                <w:szCs w:val="25"/>
              </w:rPr>
              <w:t>«</w:t>
            </w:r>
            <w:r w:rsidR="009D22E2" w:rsidRPr="00EA409F">
              <w:rPr>
                <w:rFonts w:ascii="Times New Roman" w:eastAsia="Calibri" w:hAnsi="Times New Roman" w:cs="Times New Roman"/>
                <w:sz w:val="25"/>
                <w:szCs w:val="25"/>
              </w:rPr>
              <w:t>0</w:t>
            </w:r>
            <w:r w:rsidR="003350B6" w:rsidRPr="00EA409F">
              <w:rPr>
                <w:rFonts w:ascii="Times New Roman" w:eastAsia="Calibri" w:hAnsi="Times New Roman" w:cs="Times New Roman"/>
                <w:sz w:val="25"/>
                <w:szCs w:val="25"/>
              </w:rPr>
              <w:t>4</w:t>
            </w:r>
            <w:r w:rsidR="00975FB2" w:rsidRPr="00EA409F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» </w:t>
            </w:r>
            <w:r w:rsidR="00AB464D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March</w:t>
            </w:r>
            <w:r w:rsidR="00AB464D" w:rsidRPr="00AB464D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r w:rsidR="00AB464D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2020 </w:t>
            </w:r>
            <w:r w:rsidRPr="00EA409F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                       </w:t>
            </w:r>
            <w:r w:rsidR="00AB464D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 xml:space="preserve">   stamp here</w:t>
            </w:r>
          </w:p>
        </w:tc>
      </w:tr>
    </w:tbl>
    <w:p w:rsidR="001820CD" w:rsidRPr="00AB464D" w:rsidRDefault="001820CD" w:rsidP="001B2031">
      <w:pPr>
        <w:rPr>
          <w:sz w:val="25"/>
          <w:szCs w:val="25"/>
        </w:rPr>
      </w:pPr>
    </w:p>
    <w:p w:rsidR="00EA409F" w:rsidRPr="00AB464D" w:rsidRDefault="00EA409F" w:rsidP="001B2031">
      <w:pPr>
        <w:rPr>
          <w:sz w:val="25"/>
          <w:szCs w:val="25"/>
        </w:rPr>
      </w:pPr>
    </w:p>
    <w:p w:rsidR="00EA409F" w:rsidRPr="00AB464D" w:rsidRDefault="00EA409F" w:rsidP="001B2031">
      <w:pPr>
        <w:rPr>
          <w:sz w:val="25"/>
          <w:szCs w:val="25"/>
        </w:rPr>
      </w:pPr>
    </w:p>
    <w:p w:rsidR="00EA409F" w:rsidRPr="00AB464D" w:rsidRDefault="00EA409F" w:rsidP="001B2031">
      <w:pPr>
        <w:rPr>
          <w:sz w:val="25"/>
          <w:szCs w:val="25"/>
        </w:rPr>
      </w:pPr>
    </w:p>
    <w:p w:rsidR="00EA409F" w:rsidRPr="00AB464D" w:rsidRDefault="00EA409F" w:rsidP="001B2031">
      <w:pPr>
        <w:rPr>
          <w:sz w:val="25"/>
          <w:szCs w:val="25"/>
        </w:rPr>
      </w:pPr>
    </w:p>
    <w:p w:rsidR="00EA409F" w:rsidRPr="00AB464D" w:rsidRDefault="00EA409F" w:rsidP="001B2031">
      <w:pPr>
        <w:rPr>
          <w:sz w:val="25"/>
          <w:szCs w:val="25"/>
        </w:rPr>
      </w:pPr>
    </w:p>
    <w:p w:rsidR="00EA409F" w:rsidRPr="00AB464D" w:rsidRDefault="00EA409F" w:rsidP="001B2031">
      <w:pPr>
        <w:rPr>
          <w:sz w:val="25"/>
          <w:szCs w:val="25"/>
        </w:rPr>
      </w:pPr>
    </w:p>
    <w:p w:rsidR="00EA409F" w:rsidRPr="00AB464D" w:rsidRDefault="00EA409F" w:rsidP="001B2031">
      <w:pPr>
        <w:rPr>
          <w:sz w:val="25"/>
          <w:szCs w:val="25"/>
        </w:rPr>
      </w:pPr>
    </w:p>
    <w:p w:rsidR="00EA409F" w:rsidRDefault="00EA409F" w:rsidP="001B2031">
      <w:pPr>
        <w:rPr>
          <w:sz w:val="25"/>
          <w:szCs w:val="25"/>
          <w:lang w:val="en-US"/>
        </w:rPr>
      </w:pPr>
    </w:p>
    <w:p w:rsidR="00AB464D" w:rsidRDefault="00AB464D" w:rsidP="001B2031">
      <w:pPr>
        <w:rPr>
          <w:sz w:val="25"/>
          <w:szCs w:val="25"/>
          <w:lang w:val="en-US"/>
        </w:rPr>
      </w:pPr>
    </w:p>
    <w:p w:rsidR="00AB464D" w:rsidRDefault="00AB464D" w:rsidP="001B2031">
      <w:pPr>
        <w:rPr>
          <w:sz w:val="25"/>
          <w:szCs w:val="25"/>
          <w:lang w:val="en-US"/>
        </w:rPr>
      </w:pPr>
    </w:p>
    <w:p w:rsidR="00AB464D" w:rsidRDefault="00AB464D" w:rsidP="001B2031">
      <w:pPr>
        <w:rPr>
          <w:sz w:val="25"/>
          <w:szCs w:val="25"/>
          <w:lang w:val="en-US"/>
        </w:rPr>
      </w:pPr>
    </w:p>
    <w:p w:rsidR="00AB464D" w:rsidRDefault="00AB464D" w:rsidP="001B2031">
      <w:pPr>
        <w:rPr>
          <w:sz w:val="25"/>
          <w:szCs w:val="25"/>
          <w:lang w:val="en-US"/>
        </w:rPr>
      </w:pPr>
    </w:p>
    <w:p w:rsidR="00AB464D" w:rsidRDefault="00AB464D" w:rsidP="001B2031">
      <w:pPr>
        <w:rPr>
          <w:sz w:val="25"/>
          <w:szCs w:val="25"/>
          <w:lang w:val="en-US"/>
        </w:rPr>
      </w:pPr>
    </w:p>
    <w:p w:rsidR="00AB464D" w:rsidRPr="00AB464D" w:rsidRDefault="00AB464D" w:rsidP="001B2031">
      <w:pPr>
        <w:rPr>
          <w:sz w:val="25"/>
          <w:szCs w:val="25"/>
          <w:lang w:val="en-US"/>
        </w:rPr>
      </w:pPr>
    </w:p>
    <w:p w:rsidR="00EA409F" w:rsidRPr="00AB464D" w:rsidRDefault="00EA409F" w:rsidP="001B2031">
      <w:pPr>
        <w:rPr>
          <w:sz w:val="25"/>
          <w:szCs w:val="25"/>
        </w:rPr>
      </w:pPr>
    </w:p>
    <w:p w:rsidR="00EA409F" w:rsidRPr="00AB464D" w:rsidRDefault="00EA409F" w:rsidP="001B2031">
      <w:pPr>
        <w:rPr>
          <w:sz w:val="25"/>
          <w:szCs w:val="25"/>
        </w:rPr>
      </w:pPr>
    </w:p>
    <w:p w:rsidR="00EA409F" w:rsidRPr="00AB464D" w:rsidRDefault="00EA409F" w:rsidP="001B2031">
      <w:pPr>
        <w:rPr>
          <w:sz w:val="25"/>
          <w:szCs w:val="25"/>
        </w:rPr>
      </w:pPr>
    </w:p>
    <w:p w:rsidR="00EA409F" w:rsidRPr="00AB464D" w:rsidRDefault="00EA409F" w:rsidP="001B2031">
      <w:pPr>
        <w:rPr>
          <w:sz w:val="25"/>
          <w:szCs w:val="25"/>
        </w:rPr>
      </w:pPr>
    </w:p>
    <w:p w:rsidR="00EA409F" w:rsidRDefault="00EA409F" w:rsidP="00EA409F">
      <w:pPr>
        <w:ind w:left="-284"/>
        <w:jc w:val="center"/>
        <w:rPr>
          <w:b/>
          <w:bCs/>
          <w:color w:val="000000"/>
          <w:sz w:val="25"/>
          <w:szCs w:val="25"/>
        </w:rPr>
      </w:pPr>
    </w:p>
    <w:p w:rsidR="00EA409F" w:rsidRPr="00012EBD" w:rsidRDefault="00EA409F" w:rsidP="00EA409F">
      <w:pPr>
        <w:ind w:left="-284"/>
        <w:jc w:val="center"/>
        <w:rPr>
          <w:b/>
          <w:bCs/>
          <w:color w:val="002060"/>
          <w:sz w:val="25"/>
          <w:szCs w:val="25"/>
        </w:rPr>
      </w:pPr>
      <w:r w:rsidRPr="00012EBD">
        <w:rPr>
          <w:b/>
          <w:bCs/>
          <w:color w:val="002060"/>
          <w:sz w:val="25"/>
          <w:szCs w:val="25"/>
        </w:rPr>
        <w:lastRenderedPageBreak/>
        <w:t xml:space="preserve">Сообщение о существенном факте </w:t>
      </w:r>
      <w:r w:rsidRPr="00012EBD">
        <w:rPr>
          <w:b/>
          <w:bCs/>
          <w:color w:val="002060"/>
          <w:sz w:val="25"/>
          <w:szCs w:val="25"/>
        </w:rPr>
        <w:br/>
        <w:t>«О проведении заседания совета директоров эмитента и его повестке дня»</w:t>
      </w:r>
    </w:p>
    <w:p w:rsidR="00EA409F" w:rsidRPr="00012EBD" w:rsidRDefault="00EA409F" w:rsidP="00EA409F">
      <w:pPr>
        <w:jc w:val="center"/>
        <w:rPr>
          <w:b/>
          <w:bCs/>
          <w:color w:val="002060"/>
          <w:sz w:val="25"/>
          <w:szCs w:val="25"/>
        </w:rPr>
      </w:pPr>
      <w:r w:rsidRPr="00012EBD">
        <w:rPr>
          <w:b/>
          <w:bCs/>
          <w:color w:val="002060"/>
          <w:sz w:val="25"/>
          <w:szCs w:val="25"/>
        </w:rPr>
        <w:t>(раскрытие инсайдерской информации)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EA409F" w:rsidRPr="00012EBD" w:rsidTr="000C5339">
        <w:tc>
          <w:tcPr>
            <w:tcW w:w="10348" w:type="dxa"/>
            <w:gridSpan w:val="2"/>
          </w:tcPr>
          <w:p w:rsidR="00EA409F" w:rsidRPr="00012EBD" w:rsidRDefault="00EA409F" w:rsidP="000C533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2060"/>
                <w:sz w:val="25"/>
                <w:szCs w:val="25"/>
              </w:rPr>
            </w:pPr>
            <w:r w:rsidRPr="00012EBD">
              <w:rPr>
                <w:rFonts w:ascii="Times New Roman" w:hAnsi="Times New Roman" w:cs="Times New Roman"/>
                <w:color w:val="002060"/>
                <w:sz w:val="25"/>
                <w:szCs w:val="25"/>
              </w:rPr>
              <w:t>Общие сведения</w:t>
            </w:r>
          </w:p>
        </w:tc>
      </w:tr>
      <w:tr w:rsidR="00EA409F" w:rsidRPr="00012EBD" w:rsidTr="000C5339">
        <w:tc>
          <w:tcPr>
            <w:tcW w:w="4254" w:type="dxa"/>
          </w:tcPr>
          <w:p w:rsidR="00EA409F" w:rsidRPr="00012EBD" w:rsidRDefault="00EA409F" w:rsidP="000C5339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5"/>
                <w:szCs w:val="25"/>
              </w:rPr>
            </w:pPr>
            <w:r w:rsidRPr="00012EBD">
              <w:rPr>
                <w:rFonts w:ascii="Times New Roman" w:hAnsi="Times New Roman" w:cs="Times New Roman"/>
                <w:color w:val="002060"/>
                <w:sz w:val="25"/>
                <w:szCs w:val="25"/>
              </w:rPr>
              <w:t>1.1  Полное фирменное наименование эмитента</w:t>
            </w:r>
          </w:p>
        </w:tc>
        <w:tc>
          <w:tcPr>
            <w:tcW w:w="6094" w:type="dxa"/>
          </w:tcPr>
          <w:p w:rsidR="00EA409F" w:rsidRPr="00012EBD" w:rsidRDefault="00EA409F" w:rsidP="000C5339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5"/>
                <w:szCs w:val="25"/>
              </w:rPr>
            </w:pPr>
            <w:r w:rsidRPr="00012EBD">
              <w:rPr>
                <w:rFonts w:ascii="Times New Roman" w:hAnsi="Times New Roman" w:cs="Times New Roman"/>
                <w:i/>
                <w:color w:val="002060"/>
                <w:sz w:val="25"/>
                <w:szCs w:val="25"/>
              </w:rPr>
              <w:t>Публичное акционерное общество энергетики и электрификации Кубани</w:t>
            </w:r>
          </w:p>
        </w:tc>
      </w:tr>
      <w:tr w:rsidR="00EA409F" w:rsidRPr="00012EBD" w:rsidTr="000C5339">
        <w:tc>
          <w:tcPr>
            <w:tcW w:w="4254" w:type="dxa"/>
          </w:tcPr>
          <w:p w:rsidR="00EA409F" w:rsidRPr="00012EBD" w:rsidRDefault="00EA409F" w:rsidP="000C5339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5"/>
                <w:szCs w:val="25"/>
              </w:rPr>
            </w:pPr>
            <w:r w:rsidRPr="00012EBD">
              <w:rPr>
                <w:rFonts w:ascii="Times New Roman" w:hAnsi="Times New Roman" w:cs="Times New Roman"/>
                <w:color w:val="002060"/>
                <w:sz w:val="25"/>
                <w:szCs w:val="25"/>
              </w:rPr>
              <w:t>1.2. Сокращенное фирменное название эмитента</w:t>
            </w:r>
          </w:p>
        </w:tc>
        <w:tc>
          <w:tcPr>
            <w:tcW w:w="6094" w:type="dxa"/>
          </w:tcPr>
          <w:p w:rsidR="00EA409F" w:rsidRPr="00012EBD" w:rsidRDefault="00EA409F" w:rsidP="000C5339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5"/>
                <w:szCs w:val="25"/>
              </w:rPr>
            </w:pPr>
            <w:r w:rsidRPr="00012EBD">
              <w:rPr>
                <w:rFonts w:ascii="Times New Roman" w:hAnsi="Times New Roman" w:cs="Times New Roman"/>
                <w:i/>
                <w:color w:val="002060"/>
                <w:sz w:val="25"/>
                <w:szCs w:val="25"/>
              </w:rPr>
              <w:t>ПАО «Кубаньэнерго»</w:t>
            </w:r>
          </w:p>
        </w:tc>
      </w:tr>
      <w:tr w:rsidR="00EA409F" w:rsidRPr="00012EBD" w:rsidTr="000C5339">
        <w:tc>
          <w:tcPr>
            <w:tcW w:w="4254" w:type="dxa"/>
          </w:tcPr>
          <w:p w:rsidR="00EA409F" w:rsidRPr="00012EBD" w:rsidRDefault="00EA409F" w:rsidP="000C5339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5"/>
                <w:szCs w:val="25"/>
              </w:rPr>
            </w:pPr>
            <w:r w:rsidRPr="00012EBD">
              <w:rPr>
                <w:rFonts w:ascii="Times New Roman" w:hAnsi="Times New Roman" w:cs="Times New Roman"/>
                <w:color w:val="002060"/>
                <w:sz w:val="25"/>
                <w:szCs w:val="25"/>
              </w:rPr>
              <w:t>1.3. Место нахождения эмитента</w:t>
            </w:r>
          </w:p>
        </w:tc>
        <w:tc>
          <w:tcPr>
            <w:tcW w:w="6094" w:type="dxa"/>
          </w:tcPr>
          <w:p w:rsidR="00EA409F" w:rsidRPr="00012EBD" w:rsidRDefault="00EA409F" w:rsidP="000C5339">
            <w:pPr>
              <w:jc w:val="both"/>
              <w:rPr>
                <w:color w:val="002060"/>
                <w:sz w:val="25"/>
                <w:szCs w:val="25"/>
              </w:rPr>
            </w:pPr>
            <w:r w:rsidRPr="00012EBD">
              <w:rPr>
                <w:i/>
                <w:color w:val="002060"/>
                <w:sz w:val="25"/>
                <w:szCs w:val="25"/>
              </w:rPr>
              <w:t>Российская Федерация, г. Краснодар</w:t>
            </w:r>
          </w:p>
          <w:p w:rsidR="00EA409F" w:rsidRPr="00012EBD" w:rsidRDefault="00EA409F" w:rsidP="000C5339">
            <w:pPr>
              <w:jc w:val="both"/>
              <w:rPr>
                <w:color w:val="002060"/>
                <w:sz w:val="25"/>
                <w:szCs w:val="25"/>
              </w:rPr>
            </w:pPr>
          </w:p>
        </w:tc>
      </w:tr>
      <w:tr w:rsidR="00EA409F" w:rsidRPr="00012EBD" w:rsidTr="000C5339">
        <w:tc>
          <w:tcPr>
            <w:tcW w:w="4254" w:type="dxa"/>
          </w:tcPr>
          <w:p w:rsidR="00EA409F" w:rsidRPr="00012EBD" w:rsidRDefault="00EA409F" w:rsidP="000C5339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5"/>
                <w:szCs w:val="25"/>
              </w:rPr>
            </w:pPr>
            <w:r w:rsidRPr="00012EBD">
              <w:rPr>
                <w:rFonts w:ascii="Times New Roman" w:hAnsi="Times New Roman" w:cs="Times New Roman"/>
                <w:color w:val="002060"/>
                <w:sz w:val="25"/>
                <w:szCs w:val="25"/>
              </w:rPr>
              <w:t>1.4. ОГРН эмитента</w:t>
            </w:r>
          </w:p>
        </w:tc>
        <w:tc>
          <w:tcPr>
            <w:tcW w:w="6094" w:type="dxa"/>
          </w:tcPr>
          <w:p w:rsidR="00EA409F" w:rsidRPr="00012EBD" w:rsidRDefault="00EA409F" w:rsidP="000C5339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5"/>
                <w:szCs w:val="25"/>
              </w:rPr>
            </w:pPr>
            <w:r w:rsidRPr="00012EBD">
              <w:rPr>
                <w:rFonts w:ascii="Times New Roman" w:hAnsi="Times New Roman" w:cs="Times New Roman"/>
                <w:i/>
                <w:color w:val="002060"/>
                <w:sz w:val="25"/>
                <w:szCs w:val="25"/>
              </w:rPr>
              <w:t>1022301427268</w:t>
            </w:r>
          </w:p>
        </w:tc>
      </w:tr>
      <w:tr w:rsidR="00EA409F" w:rsidRPr="00012EBD" w:rsidTr="000C5339">
        <w:tc>
          <w:tcPr>
            <w:tcW w:w="4254" w:type="dxa"/>
          </w:tcPr>
          <w:p w:rsidR="00EA409F" w:rsidRPr="00012EBD" w:rsidRDefault="00EA409F" w:rsidP="000C5339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5"/>
                <w:szCs w:val="25"/>
              </w:rPr>
            </w:pPr>
            <w:r w:rsidRPr="00012EBD">
              <w:rPr>
                <w:rFonts w:ascii="Times New Roman" w:hAnsi="Times New Roman" w:cs="Times New Roman"/>
                <w:color w:val="002060"/>
                <w:sz w:val="25"/>
                <w:szCs w:val="25"/>
              </w:rPr>
              <w:t>1.5. ИНН эмитента</w:t>
            </w:r>
          </w:p>
        </w:tc>
        <w:tc>
          <w:tcPr>
            <w:tcW w:w="6094" w:type="dxa"/>
          </w:tcPr>
          <w:p w:rsidR="00EA409F" w:rsidRPr="00012EBD" w:rsidRDefault="00EA409F" w:rsidP="000C5339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5"/>
                <w:szCs w:val="25"/>
              </w:rPr>
            </w:pPr>
            <w:r w:rsidRPr="00012EBD">
              <w:rPr>
                <w:rFonts w:ascii="Times New Roman" w:hAnsi="Times New Roman" w:cs="Times New Roman"/>
                <w:i/>
                <w:color w:val="002060"/>
                <w:sz w:val="25"/>
                <w:szCs w:val="25"/>
              </w:rPr>
              <w:t>2309001660</w:t>
            </w:r>
          </w:p>
        </w:tc>
      </w:tr>
      <w:tr w:rsidR="00EA409F" w:rsidRPr="00012EBD" w:rsidTr="000C5339">
        <w:tc>
          <w:tcPr>
            <w:tcW w:w="4254" w:type="dxa"/>
          </w:tcPr>
          <w:p w:rsidR="00EA409F" w:rsidRPr="00012EBD" w:rsidRDefault="00EA409F" w:rsidP="000C5339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5"/>
                <w:szCs w:val="25"/>
              </w:rPr>
            </w:pPr>
            <w:r w:rsidRPr="00012EBD">
              <w:rPr>
                <w:rFonts w:ascii="Times New Roman" w:hAnsi="Times New Roman" w:cs="Times New Roman"/>
                <w:color w:val="002060"/>
                <w:sz w:val="25"/>
                <w:szCs w:val="25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094" w:type="dxa"/>
          </w:tcPr>
          <w:p w:rsidR="00EA409F" w:rsidRPr="00012EBD" w:rsidRDefault="00EA409F" w:rsidP="000C5339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5"/>
                <w:szCs w:val="25"/>
              </w:rPr>
            </w:pPr>
            <w:r w:rsidRPr="00012EBD">
              <w:rPr>
                <w:rFonts w:ascii="Times New Roman" w:hAnsi="Times New Roman" w:cs="Times New Roman"/>
                <w:i/>
                <w:color w:val="002060"/>
                <w:sz w:val="25"/>
                <w:szCs w:val="25"/>
              </w:rPr>
              <w:t>00063-А</w:t>
            </w:r>
          </w:p>
        </w:tc>
      </w:tr>
      <w:tr w:rsidR="00EA409F" w:rsidRPr="00012EBD" w:rsidTr="000C5339">
        <w:tc>
          <w:tcPr>
            <w:tcW w:w="4254" w:type="dxa"/>
          </w:tcPr>
          <w:p w:rsidR="00EA409F" w:rsidRPr="00012EBD" w:rsidRDefault="00EA409F" w:rsidP="000C5339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5"/>
                <w:szCs w:val="25"/>
              </w:rPr>
            </w:pPr>
            <w:r w:rsidRPr="00012EBD">
              <w:rPr>
                <w:rFonts w:ascii="Times New Roman" w:hAnsi="Times New Roman" w:cs="Times New Roman"/>
                <w:color w:val="002060"/>
                <w:sz w:val="25"/>
                <w:szCs w:val="25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094" w:type="dxa"/>
          </w:tcPr>
          <w:p w:rsidR="00EA409F" w:rsidRPr="00012EBD" w:rsidRDefault="00EA409F" w:rsidP="000C5339">
            <w:pPr>
              <w:pStyle w:val="a3"/>
              <w:jc w:val="both"/>
              <w:rPr>
                <w:rFonts w:ascii="Times New Roman" w:hAnsi="Times New Roman" w:cs="Times New Roman"/>
                <w:i/>
                <w:color w:val="002060"/>
                <w:sz w:val="25"/>
                <w:szCs w:val="25"/>
              </w:rPr>
            </w:pPr>
            <w:r w:rsidRPr="00012EBD">
              <w:rPr>
                <w:rFonts w:ascii="Times New Roman" w:hAnsi="Times New Roman" w:cs="Times New Roman"/>
                <w:i/>
                <w:color w:val="002060"/>
                <w:sz w:val="25"/>
                <w:szCs w:val="25"/>
                <w:lang w:val="en-US"/>
              </w:rPr>
              <w:t>http</w:t>
            </w:r>
            <w:r w:rsidRPr="00012EBD">
              <w:rPr>
                <w:rFonts w:ascii="Times New Roman" w:hAnsi="Times New Roman" w:cs="Times New Roman"/>
                <w:i/>
                <w:color w:val="002060"/>
                <w:sz w:val="25"/>
                <w:szCs w:val="25"/>
              </w:rPr>
              <w:t>://</w:t>
            </w:r>
            <w:hyperlink r:id="rId8" w:history="1">
              <w:r w:rsidRPr="00012EBD">
                <w:rPr>
                  <w:rFonts w:ascii="Times New Roman" w:hAnsi="Times New Roman" w:cs="Times New Roman"/>
                  <w:i/>
                  <w:color w:val="002060"/>
                  <w:sz w:val="25"/>
                  <w:szCs w:val="25"/>
                  <w:lang w:val="en-US"/>
                </w:rPr>
                <w:t>www</w:t>
              </w:r>
              <w:r w:rsidRPr="00012EBD">
                <w:rPr>
                  <w:rFonts w:ascii="Times New Roman" w:hAnsi="Times New Roman" w:cs="Times New Roman"/>
                  <w:i/>
                  <w:color w:val="002060"/>
                  <w:sz w:val="25"/>
                  <w:szCs w:val="25"/>
                </w:rPr>
                <w:t>.</w:t>
              </w:r>
              <w:proofErr w:type="spellStart"/>
              <w:r w:rsidRPr="00012EBD">
                <w:rPr>
                  <w:rFonts w:ascii="Times New Roman" w:hAnsi="Times New Roman" w:cs="Times New Roman"/>
                  <w:i/>
                  <w:color w:val="002060"/>
                  <w:sz w:val="25"/>
                  <w:szCs w:val="25"/>
                  <w:lang w:val="en-US"/>
                </w:rPr>
                <w:t>kubanenergo</w:t>
              </w:r>
              <w:proofErr w:type="spellEnd"/>
              <w:r w:rsidRPr="00012EBD">
                <w:rPr>
                  <w:rFonts w:ascii="Times New Roman" w:hAnsi="Times New Roman" w:cs="Times New Roman"/>
                  <w:i/>
                  <w:color w:val="002060"/>
                  <w:sz w:val="25"/>
                  <w:szCs w:val="25"/>
                </w:rPr>
                <w:t>.</w:t>
              </w:r>
              <w:proofErr w:type="spellStart"/>
              <w:r w:rsidRPr="00012EBD">
                <w:rPr>
                  <w:rFonts w:ascii="Times New Roman" w:hAnsi="Times New Roman" w:cs="Times New Roman"/>
                  <w:i/>
                  <w:color w:val="002060"/>
                  <w:sz w:val="25"/>
                  <w:szCs w:val="25"/>
                  <w:lang w:val="en-US"/>
                </w:rPr>
                <w:t>ru</w:t>
              </w:r>
              <w:proofErr w:type="spellEnd"/>
            </w:hyperlink>
            <w:r w:rsidRPr="00012EBD">
              <w:rPr>
                <w:rFonts w:ascii="Times New Roman" w:hAnsi="Times New Roman" w:cs="Times New Roman"/>
                <w:color w:val="002060"/>
                <w:sz w:val="25"/>
                <w:szCs w:val="25"/>
              </w:rPr>
              <w:t>,</w:t>
            </w:r>
          </w:p>
          <w:p w:rsidR="00EA409F" w:rsidRPr="00012EBD" w:rsidRDefault="00EA409F" w:rsidP="000C5339">
            <w:pPr>
              <w:pStyle w:val="a3"/>
              <w:jc w:val="both"/>
              <w:rPr>
                <w:rFonts w:ascii="Times New Roman" w:hAnsi="Times New Roman" w:cs="Times New Roman"/>
                <w:i/>
                <w:color w:val="002060"/>
                <w:sz w:val="25"/>
                <w:szCs w:val="25"/>
              </w:rPr>
            </w:pPr>
            <w:r w:rsidRPr="00012EBD">
              <w:rPr>
                <w:rFonts w:ascii="Times New Roman" w:hAnsi="Times New Roman" w:cs="Times New Roman"/>
                <w:i/>
                <w:color w:val="002060"/>
                <w:sz w:val="25"/>
                <w:szCs w:val="25"/>
              </w:rPr>
              <w:t>http://www.e-isclosure.ru/portal/company.aspx?id=2827</w:t>
            </w:r>
          </w:p>
          <w:p w:rsidR="00EA409F" w:rsidRPr="00012EBD" w:rsidRDefault="00EA409F" w:rsidP="000C5339">
            <w:pPr>
              <w:pStyle w:val="a3"/>
              <w:jc w:val="both"/>
              <w:rPr>
                <w:rFonts w:ascii="Times New Roman" w:hAnsi="Times New Roman" w:cs="Times New Roman"/>
                <w:i/>
                <w:color w:val="002060"/>
                <w:sz w:val="25"/>
                <w:szCs w:val="25"/>
              </w:rPr>
            </w:pPr>
          </w:p>
        </w:tc>
      </w:tr>
      <w:tr w:rsidR="00EA409F" w:rsidRPr="00012EBD" w:rsidTr="000C5339">
        <w:tc>
          <w:tcPr>
            <w:tcW w:w="4254" w:type="dxa"/>
          </w:tcPr>
          <w:p w:rsidR="00EA409F" w:rsidRPr="00012EBD" w:rsidRDefault="00EA409F" w:rsidP="000C5339">
            <w:pPr>
              <w:jc w:val="both"/>
              <w:rPr>
                <w:color w:val="002060"/>
                <w:sz w:val="25"/>
                <w:szCs w:val="25"/>
              </w:rPr>
            </w:pPr>
            <w:r w:rsidRPr="00012EBD">
              <w:rPr>
                <w:color w:val="002060"/>
                <w:sz w:val="25"/>
                <w:szCs w:val="25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094" w:type="dxa"/>
          </w:tcPr>
          <w:p w:rsidR="00EA409F" w:rsidRPr="00012EBD" w:rsidRDefault="00EA409F" w:rsidP="000C5339">
            <w:pPr>
              <w:jc w:val="both"/>
              <w:rPr>
                <w:color w:val="002060"/>
                <w:sz w:val="25"/>
                <w:szCs w:val="25"/>
              </w:rPr>
            </w:pPr>
            <w:r w:rsidRPr="00012EBD">
              <w:rPr>
                <w:color w:val="002060"/>
                <w:sz w:val="25"/>
                <w:szCs w:val="25"/>
              </w:rPr>
              <w:t>04.03.2020</w:t>
            </w:r>
          </w:p>
        </w:tc>
      </w:tr>
      <w:tr w:rsidR="00EA409F" w:rsidRPr="00012EBD" w:rsidTr="000C5339">
        <w:tc>
          <w:tcPr>
            <w:tcW w:w="10348" w:type="dxa"/>
            <w:gridSpan w:val="2"/>
          </w:tcPr>
          <w:p w:rsidR="00EA409F" w:rsidRPr="00012EBD" w:rsidRDefault="00EA409F" w:rsidP="000C5339">
            <w:pPr>
              <w:jc w:val="center"/>
              <w:rPr>
                <w:color w:val="002060"/>
                <w:sz w:val="25"/>
                <w:szCs w:val="25"/>
              </w:rPr>
            </w:pPr>
            <w:r w:rsidRPr="00012EBD">
              <w:rPr>
                <w:color w:val="002060"/>
                <w:sz w:val="25"/>
                <w:szCs w:val="25"/>
              </w:rPr>
              <w:t>2. Содержание сообщения</w:t>
            </w:r>
          </w:p>
        </w:tc>
      </w:tr>
      <w:tr w:rsidR="00EA409F" w:rsidRPr="00012EBD" w:rsidTr="000C5339">
        <w:tc>
          <w:tcPr>
            <w:tcW w:w="10348" w:type="dxa"/>
            <w:gridSpan w:val="2"/>
          </w:tcPr>
          <w:p w:rsidR="00EA409F" w:rsidRPr="00012EBD" w:rsidRDefault="00EA409F" w:rsidP="000C5339">
            <w:pPr>
              <w:jc w:val="both"/>
              <w:rPr>
                <w:color w:val="002060"/>
                <w:sz w:val="25"/>
                <w:szCs w:val="25"/>
              </w:rPr>
            </w:pPr>
            <w:r w:rsidRPr="00012EBD">
              <w:rPr>
                <w:color w:val="002060"/>
                <w:sz w:val="25"/>
                <w:szCs w:val="25"/>
              </w:rPr>
              <w:t xml:space="preserve">2.1. Дата принятия председателем совета директоров эмитента решения о проведении    заседания совета директоров эмитента </w:t>
            </w:r>
            <w:r w:rsidRPr="00012EBD">
              <w:rPr>
                <w:b/>
                <w:i/>
                <w:color w:val="002060"/>
                <w:sz w:val="25"/>
                <w:szCs w:val="25"/>
              </w:rPr>
              <w:t>–  04.03.2020 года.</w:t>
            </w:r>
          </w:p>
        </w:tc>
      </w:tr>
      <w:tr w:rsidR="00EA409F" w:rsidRPr="00012EBD" w:rsidTr="000C5339">
        <w:tc>
          <w:tcPr>
            <w:tcW w:w="10348" w:type="dxa"/>
            <w:gridSpan w:val="2"/>
          </w:tcPr>
          <w:p w:rsidR="00EA409F" w:rsidRPr="00012EBD" w:rsidRDefault="00EA409F" w:rsidP="000C5339">
            <w:pPr>
              <w:jc w:val="both"/>
              <w:rPr>
                <w:color w:val="002060"/>
                <w:sz w:val="25"/>
                <w:szCs w:val="25"/>
              </w:rPr>
            </w:pPr>
            <w:r w:rsidRPr="00012EBD">
              <w:rPr>
                <w:color w:val="002060"/>
                <w:sz w:val="25"/>
                <w:szCs w:val="25"/>
              </w:rPr>
              <w:t xml:space="preserve">2.2. Дата проведения заседания совета директоров эмитента – </w:t>
            </w:r>
            <w:r w:rsidRPr="00012EBD">
              <w:rPr>
                <w:b/>
                <w:i/>
                <w:color w:val="002060"/>
                <w:sz w:val="25"/>
                <w:szCs w:val="25"/>
              </w:rPr>
              <w:t>06 марта 2020 года.</w:t>
            </w:r>
          </w:p>
        </w:tc>
      </w:tr>
      <w:tr w:rsidR="00EA409F" w:rsidRPr="00012EBD" w:rsidTr="000C5339">
        <w:trPr>
          <w:trHeight w:val="1183"/>
        </w:trPr>
        <w:tc>
          <w:tcPr>
            <w:tcW w:w="10348" w:type="dxa"/>
            <w:gridSpan w:val="2"/>
          </w:tcPr>
          <w:p w:rsidR="00EA409F" w:rsidRPr="00012EBD" w:rsidRDefault="00EA409F" w:rsidP="000C5339">
            <w:pPr>
              <w:jc w:val="both"/>
              <w:rPr>
                <w:color w:val="002060"/>
                <w:sz w:val="25"/>
                <w:szCs w:val="25"/>
              </w:rPr>
            </w:pPr>
            <w:r w:rsidRPr="00012EBD">
              <w:rPr>
                <w:color w:val="002060"/>
                <w:sz w:val="25"/>
                <w:szCs w:val="25"/>
              </w:rPr>
              <w:t xml:space="preserve">2.3. Повестка </w:t>
            </w:r>
            <w:proofErr w:type="gramStart"/>
            <w:r w:rsidRPr="00012EBD">
              <w:rPr>
                <w:color w:val="002060"/>
                <w:sz w:val="25"/>
                <w:szCs w:val="25"/>
              </w:rPr>
              <w:t>дня заседания совета директоров эмитента</w:t>
            </w:r>
            <w:proofErr w:type="gramEnd"/>
            <w:r w:rsidRPr="00012EBD">
              <w:rPr>
                <w:color w:val="002060"/>
                <w:sz w:val="25"/>
                <w:szCs w:val="25"/>
              </w:rPr>
              <w:t>:</w:t>
            </w:r>
          </w:p>
          <w:p w:rsidR="00EA409F" w:rsidRDefault="00EA409F" w:rsidP="000C533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color w:val="002060"/>
                <w:sz w:val="25"/>
                <w:szCs w:val="25"/>
              </w:rPr>
            </w:pPr>
            <w:r>
              <w:rPr>
                <w:bCs/>
                <w:color w:val="002060"/>
                <w:sz w:val="25"/>
                <w:szCs w:val="25"/>
                <w:lang w:val="en-US"/>
              </w:rPr>
              <w:t xml:space="preserve">On consideration of </w:t>
            </w:r>
          </w:p>
          <w:p w:rsidR="00EA409F" w:rsidRPr="00012EBD" w:rsidRDefault="00EA409F" w:rsidP="000C533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color w:val="002060"/>
                <w:sz w:val="25"/>
                <w:szCs w:val="25"/>
              </w:rPr>
            </w:pPr>
            <w:r w:rsidRPr="00012EBD">
              <w:rPr>
                <w:bCs/>
                <w:color w:val="002060"/>
                <w:sz w:val="25"/>
                <w:szCs w:val="25"/>
              </w:rPr>
              <w:t>О рассмотрении предложений акционеров по внесению вопросов в повестку дня годового Общего собрания акционеров Общества и по выдвижению кандидатов в органы управления и контроля Общества.</w:t>
            </w:r>
          </w:p>
          <w:p w:rsidR="00EA409F" w:rsidRPr="00012EBD" w:rsidRDefault="00EA409F" w:rsidP="000C533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color w:val="002060"/>
                <w:sz w:val="25"/>
                <w:szCs w:val="25"/>
              </w:rPr>
            </w:pPr>
            <w:r w:rsidRPr="00012EBD">
              <w:rPr>
                <w:bCs/>
                <w:color w:val="002060"/>
                <w:sz w:val="25"/>
                <w:szCs w:val="25"/>
              </w:rPr>
              <w:t>Об определении даты заседания Совета директоров по рассмотрению вопросов, связанных с подготовкой к проведению годового Общего собрания акционеров Общества.</w:t>
            </w:r>
          </w:p>
        </w:tc>
      </w:tr>
      <w:tr w:rsidR="00EA409F" w:rsidRPr="00012EBD" w:rsidTr="000C5339">
        <w:tc>
          <w:tcPr>
            <w:tcW w:w="10348" w:type="dxa"/>
            <w:gridSpan w:val="2"/>
          </w:tcPr>
          <w:p w:rsidR="00EA409F" w:rsidRPr="00012EBD" w:rsidRDefault="00EA409F" w:rsidP="000C5339">
            <w:pPr>
              <w:pStyle w:val="a3"/>
              <w:ind w:left="360"/>
              <w:jc w:val="center"/>
              <w:rPr>
                <w:rFonts w:ascii="Times New Roman" w:hAnsi="Times New Roman" w:cs="Times New Roman"/>
                <w:color w:val="002060"/>
                <w:sz w:val="25"/>
                <w:szCs w:val="25"/>
              </w:rPr>
            </w:pPr>
            <w:r w:rsidRPr="00012EBD">
              <w:rPr>
                <w:rFonts w:ascii="Times New Roman" w:hAnsi="Times New Roman" w:cs="Times New Roman"/>
                <w:color w:val="002060"/>
                <w:sz w:val="25"/>
                <w:szCs w:val="25"/>
              </w:rPr>
              <w:t>3. Подпись</w:t>
            </w:r>
          </w:p>
        </w:tc>
      </w:tr>
      <w:tr w:rsidR="00EA409F" w:rsidRPr="00012EBD" w:rsidTr="000C5339">
        <w:tc>
          <w:tcPr>
            <w:tcW w:w="10348" w:type="dxa"/>
            <w:gridSpan w:val="2"/>
          </w:tcPr>
          <w:p w:rsidR="00EA409F" w:rsidRPr="00012EBD" w:rsidRDefault="00EA409F" w:rsidP="000C5339">
            <w:pPr>
              <w:rPr>
                <w:rFonts w:eastAsia="Calibri"/>
                <w:color w:val="002060"/>
                <w:sz w:val="25"/>
                <w:szCs w:val="25"/>
              </w:rPr>
            </w:pPr>
            <w:r w:rsidRPr="00012EBD">
              <w:rPr>
                <w:rFonts w:eastAsia="Calibri"/>
                <w:color w:val="002060"/>
                <w:sz w:val="25"/>
                <w:szCs w:val="25"/>
              </w:rPr>
              <w:t>3.1. Начальник департамента</w:t>
            </w:r>
          </w:p>
          <w:p w:rsidR="00EA409F" w:rsidRPr="00012EBD" w:rsidRDefault="00EA409F" w:rsidP="000C5339">
            <w:pPr>
              <w:rPr>
                <w:rFonts w:eastAsia="Calibri"/>
                <w:color w:val="002060"/>
                <w:sz w:val="25"/>
                <w:szCs w:val="25"/>
              </w:rPr>
            </w:pPr>
            <w:r w:rsidRPr="00012EBD">
              <w:rPr>
                <w:rFonts w:eastAsia="Calibri"/>
                <w:color w:val="002060"/>
                <w:sz w:val="25"/>
                <w:szCs w:val="25"/>
              </w:rPr>
              <w:t xml:space="preserve">корпоративного управления </w:t>
            </w:r>
          </w:p>
          <w:p w:rsidR="00EA409F" w:rsidRPr="00012EBD" w:rsidRDefault="00EA409F" w:rsidP="000C5339">
            <w:pPr>
              <w:rPr>
                <w:rFonts w:eastAsia="Calibri"/>
                <w:color w:val="002060"/>
                <w:sz w:val="25"/>
                <w:szCs w:val="25"/>
              </w:rPr>
            </w:pPr>
            <w:r w:rsidRPr="00012EBD">
              <w:rPr>
                <w:rFonts w:eastAsia="Calibri"/>
                <w:color w:val="002060"/>
                <w:sz w:val="25"/>
                <w:szCs w:val="25"/>
              </w:rPr>
              <w:t>и взаимодействия с акционерами                                     ______________________ Е.Е. Диденко</w:t>
            </w:r>
          </w:p>
          <w:p w:rsidR="00EA409F" w:rsidRPr="00012EBD" w:rsidRDefault="00EA409F" w:rsidP="000C5339">
            <w:pPr>
              <w:rPr>
                <w:rFonts w:eastAsia="Calibri"/>
                <w:color w:val="002060"/>
                <w:sz w:val="25"/>
                <w:szCs w:val="25"/>
              </w:rPr>
            </w:pPr>
            <w:r w:rsidRPr="00012EBD">
              <w:rPr>
                <w:rFonts w:eastAsia="Calibri"/>
                <w:color w:val="002060"/>
                <w:sz w:val="25"/>
                <w:szCs w:val="25"/>
              </w:rPr>
              <w:t xml:space="preserve">(по доверенности №23/256-н/23-2020-4-130 от 23.01.2020)               (подпись) </w:t>
            </w:r>
          </w:p>
          <w:p w:rsidR="00EA409F" w:rsidRPr="00012EBD" w:rsidRDefault="00EA409F" w:rsidP="000C5339">
            <w:pPr>
              <w:rPr>
                <w:rFonts w:eastAsia="Calibri"/>
                <w:color w:val="002060"/>
                <w:sz w:val="25"/>
                <w:szCs w:val="25"/>
              </w:rPr>
            </w:pPr>
            <w:r w:rsidRPr="00012EBD">
              <w:rPr>
                <w:rFonts w:eastAsia="Calibri"/>
                <w:color w:val="002060"/>
                <w:sz w:val="25"/>
                <w:szCs w:val="25"/>
              </w:rPr>
              <w:t xml:space="preserve">                 </w:t>
            </w:r>
          </w:p>
          <w:p w:rsidR="00EA409F" w:rsidRPr="00012EBD" w:rsidRDefault="00EA409F" w:rsidP="000C5339">
            <w:pPr>
              <w:pStyle w:val="a3"/>
              <w:ind w:left="176" w:hanging="176"/>
              <w:rPr>
                <w:rFonts w:ascii="Times New Roman" w:hAnsi="Times New Roman" w:cs="Times New Roman"/>
                <w:color w:val="002060"/>
                <w:sz w:val="25"/>
                <w:szCs w:val="25"/>
              </w:rPr>
            </w:pPr>
            <w:r w:rsidRPr="00012EBD">
              <w:rPr>
                <w:rFonts w:ascii="Times New Roman" w:eastAsia="Calibri" w:hAnsi="Times New Roman" w:cs="Times New Roman"/>
                <w:color w:val="002060"/>
                <w:sz w:val="25"/>
                <w:szCs w:val="25"/>
              </w:rPr>
              <w:t>3.2. Дата «04» марта 2020 г.                         М.П.</w:t>
            </w:r>
          </w:p>
        </w:tc>
      </w:tr>
    </w:tbl>
    <w:p w:rsidR="00EA409F" w:rsidRPr="00EA409F" w:rsidRDefault="00EA409F" w:rsidP="001B2031">
      <w:pPr>
        <w:rPr>
          <w:sz w:val="25"/>
          <w:szCs w:val="25"/>
        </w:rPr>
      </w:pPr>
    </w:p>
    <w:sectPr w:rsidR="00EA409F" w:rsidRPr="00EA409F" w:rsidSect="00927C52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D45EAB"/>
    <w:multiLevelType w:val="hybridMultilevel"/>
    <w:tmpl w:val="3882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7"/>
  </w:num>
  <w:num w:numId="3">
    <w:abstractNumId w:val="11"/>
  </w:num>
  <w:num w:numId="4">
    <w:abstractNumId w:val="24"/>
  </w:num>
  <w:num w:numId="5">
    <w:abstractNumId w:val="14"/>
  </w:num>
  <w:num w:numId="6">
    <w:abstractNumId w:va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</w:num>
  <w:num w:numId="10">
    <w:abstractNumId w:val="37"/>
  </w:num>
  <w:num w:numId="11">
    <w:abstractNumId w:val="10"/>
  </w:num>
  <w:num w:numId="12">
    <w:abstractNumId w:val="3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1"/>
  </w:num>
  <w:num w:numId="24">
    <w:abstractNumId w:val="42"/>
  </w:num>
  <w:num w:numId="25">
    <w:abstractNumId w:val="40"/>
  </w:num>
  <w:num w:numId="26">
    <w:abstractNumId w:val="27"/>
  </w:num>
  <w:num w:numId="27">
    <w:abstractNumId w:val="5"/>
  </w:num>
  <w:num w:numId="28">
    <w:abstractNumId w:val="31"/>
  </w:num>
  <w:num w:numId="29">
    <w:abstractNumId w:val="2"/>
  </w:num>
  <w:num w:numId="30">
    <w:abstractNumId w:val="38"/>
  </w:num>
  <w:num w:numId="31">
    <w:abstractNumId w:val="32"/>
  </w:num>
  <w:num w:numId="32">
    <w:abstractNumId w:val="12"/>
  </w:num>
  <w:num w:numId="33">
    <w:abstractNumId w:val="23"/>
  </w:num>
  <w:num w:numId="34">
    <w:abstractNumId w:val="41"/>
  </w:num>
  <w:num w:numId="35">
    <w:abstractNumId w:val="0"/>
  </w:num>
  <w:num w:numId="36">
    <w:abstractNumId w:val="36"/>
  </w:num>
  <w:num w:numId="37">
    <w:abstractNumId w:val="20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3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6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2EBD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6E0C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63E7A"/>
    <w:rsid w:val="0016655C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2031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4E9"/>
    <w:rsid w:val="00265842"/>
    <w:rsid w:val="00266003"/>
    <w:rsid w:val="00266C87"/>
    <w:rsid w:val="00267BA1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5022"/>
    <w:rsid w:val="002F1521"/>
    <w:rsid w:val="002F2935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50B6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3323"/>
    <w:rsid w:val="0096741B"/>
    <w:rsid w:val="009704CA"/>
    <w:rsid w:val="00975FB2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1729"/>
    <w:rsid w:val="009D22E2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464D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E104B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4C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73F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3C9"/>
    <w:rsid w:val="00E8749B"/>
    <w:rsid w:val="00E87FB5"/>
    <w:rsid w:val="00E92916"/>
    <w:rsid w:val="00E93EE3"/>
    <w:rsid w:val="00EA0015"/>
    <w:rsid w:val="00EA043C"/>
    <w:rsid w:val="00EA409F"/>
    <w:rsid w:val="00EA4EB7"/>
    <w:rsid w:val="00EA637C"/>
    <w:rsid w:val="00EA7BC2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360D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9F8BD-3562-48C3-8616-913C4263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34</cp:revision>
  <cp:lastPrinted>2020-03-14T17:35:00Z</cp:lastPrinted>
  <dcterms:created xsi:type="dcterms:W3CDTF">2019-07-19T09:01:00Z</dcterms:created>
  <dcterms:modified xsi:type="dcterms:W3CDTF">2020-03-14T18:35:00Z</dcterms:modified>
</cp:coreProperties>
</file>