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F2" w:rsidRDefault="002B0AF2" w:rsidP="00117F04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2B0AF2" w:rsidRPr="004C25CD" w:rsidRDefault="002B0AF2" w:rsidP="00117F04">
      <w:pPr>
        <w:ind w:left="-284"/>
        <w:jc w:val="center"/>
        <w:rPr>
          <w:b/>
          <w:bCs/>
          <w:sz w:val="26"/>
          <w:szCs w:val="26"/>
          <w:lang w:val="en-US"/>
        </w:rPr>
      </w:pPr>
      <w:r w:rsidRPr="004C25CD">
        <w:rPr>
          <w:b/>
          <w:bCs/>
          <w:sz w:val="26"/>
          <w:szCs w:val="26"/>
          <w:lang w:val="en-US"/>
        </w:rPr>
        <w:t>‘On resolutions passed by the Issuer’s Board of Directors’</w:t>
      </w:r>
    </w:p>
    <w:p w:rsidR="002B0AF2" w:rsidRPr="00050440" w:rsidRDefault="002B0AF2" w:rsidP="002B0AF2">
      <w:pPr>
        <w:jc w:val="center"/>
        <w:rPr>
          <w:b/>
          <w:bCs/>
          <w:color w:val="000000"/>
          <w:sz w:val="26"/>
          <w:szCs w:val="26"/>
          <w:lang w:val="en-US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6237"/>
      </w:tblGrid>
      <w:tr w:rsidR="0045226D" w:rsidRPr="006537DD" w:rsidTr="00F61FF8">
        <w:tc>
          <w:tcPr>
            <w:tcW w:w="10490" w:type="dxa"/>
            <w:gridSpan w:val="2"/>
          </w:tcPr>
          <w:p w:rsidR="0045226D" w:rsidRPr="006537DD" w:rsidRDefault="002B0AF2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2B0AF2" w:rsidRPr="00623E5F" w:rsidTr="00F61FF8">
        <w:trPr>
          <w:trHeight w:val="599"/>
        </w:trPr>
        <w:tc>
          <w:tcPr>
            <w:tcW w:w="4253" w:type="dxa"/>
          </w:tcPr>
          <w:p w:rsidR="002B0AF2" w:rsidRPr="002B0AF2" w:rsidRDefault="002B0AF2" w:rsidP="00126C80">
            <w:pPr>
              <w:rPr>
                <w:b/>
                <w:sz w:val="26"/>
                <w:szCs w:val="26"/>
                <w:lang w:val="en-US"/>
              </w:rPr>
            </w:pPr>
            <w:r w:rsidRPr="002B0AF2">
              <w:rPr>
                <w:b/>
                <w:sz w:val="26"/>
                <w:szCs w:val="26"/>
                <w:lang w:val="en-US"/>
              </w:rPr>
              <w:t>1.1 Full corporate name of the issuer</w:t>
            </w:r>
          </w:p>
        </w:tc>
        <w:tc>
          <w:tcPr>
            <w:tcW w:w="6237" w:type="dxa"/>
          </w:tcPr>
          <w:p w:rsidR="002B0AF2" w:rsidRPr="002B0AF2" w:rsidRDefault="002B0AF2" w:rsidP="006E16F2">
            <w:pPr>
              <w:rPr>
                <w:sz w:val="26"/>
                <w:szCs w:val="26"/>
                <w:lang w:val="en-US"/>
              </w:rPr>
            </w:pPr>
            <w:r w:rsidRPr="002B0AF2">
              <w:rPr>
                <w:sz w:val="26"/>
                <w:szCs w:val="26"/>
                <w:lang w:val="en-US"/>
              </w:rPr>
              <w:t xml:space="preserve">Public Joint Stock Company of Power Industry and Electrification of Kuban </w:t>
            </w:r>
          </w:p>
        </w:tc>
      </w:tr>
      <w:tr w:rsidR="002B0AF2" w:rsidRPr="006537DD" w:rsidTr="00F61FF8">
        <w:tc>
          <w:tcPr>
            <w:tcW w:w="4253" w:type="dxa"/>
          </w:tcPr>
          <w:p w:rsidR="002B0AF2" w:rsidRPr="002B0AF2" w:rsidRDefault="002B0AF2" w:rsidP="00126C80">
            <w:pPr>
              <w:rPr>
                <w:b/>
                <w:sz w:val="26"/>
                <w:szCs w:val="26"/>
                <w:lang w:val="en-US"/>
              </w:rPr>
            </w:pPr>
            <w:r w:rsidRPr="002B0AF2">
              <w:rPr>
                <w:b/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237" w:type="dxa"/>
          </w:tcPr>
          <w:p w:rsidR="002B0AF2" w:rsidRPr="002B0AF2" w:rsidRDefault="002B0AF2" w:rsidP="006E16F2">
            <w:pPr>
              <w:rPr>
                <w:sz w:val="26"/>
                <w:szCs w:val="26"/>
              </w:rPr>
            </w:pPr>
            <w:r w:rsidRPr="002B0AF2">
              <w:rPr>
                <w:sz w:val="26"/>
                <w:szCs w:val="26"/>
              </w:rPr>
              <w:t>PJSC Kubanenergo</w:t>
            </w:r>
          </w:p>
        </w:tc>
      </w:tr>
      <w:tr w:rsidR="002B0AF2" w:rsidRPr="006537DD" w:rsidTr="00F61FF8">
        <w:trPr>
          <w:trHeight w:val="412"/>
        </w:trPr>
        <w:tc>
          <w:tcPr>
            <w:tcW w:w="4253" w:type="dxa"/>
          </w:tcPr>
          <w:p w:rsidR="002B0AF2" w:rsidRPr="002B0AF2" w:rsidRDefault="002B0AF2" w:rsidP="00126C80">
            <w:pPr>
              <w:rPr>
                <w:b/>
                <w:sz w:val="26"/>
                <w:szCs w:val="26"/>
                <w:lang w:val="en-US"/>
              </w:rPr>
            </w:pPr>
            <w:r w:rsidRPr="002B0AF2">
              <w:rPr>
                <w:b/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237" w:type="dxa"/>
          </w:tcPr>
          <w:p w:rsidR="002B0AF2" w:rsidRPr="002B0AF2" w:rsidRDefault="002B0AF2" w:rsidP="006E16F2">
            <w:pPr>
              <w:rPr>
                <w:sz w:val="26"/>
                <w:szCs w:val="26"/>
              </w:rPr>
            </w:pPr>
            <w:r w:rsidRPr="002B0AF2">
              <w:rPr>
                <w:sz w:val="26"/>
                <w:szCs w:val="26"/>
              </w:rPr>
              <w:t>the Russian Federation, Krasnodar</w:t>
            </w:r>
          </w:p>
        </w:tc>
      </w:tr>
      <w:tr w:rsidR="002B0AF2" w:rsidRPr="006537DD" w:rsidTr="00F61FF8">
        <w:tc>
          <w:tcPr>
            <w:tcW w:w="4253" w:type="dxa"/>
          </w:tcPr>
          <w:p w:rsidR="002B0AF2" w:rsidRPr="002B0AF2" w:rsidRDefault="002B0AF2" w:rsidP="00126C80">
            <w:pPr>
              <w:rPr>
                <w:b/>
                <w:sz w:val="26"/>
                <w:szCs w:val="26"/>
              </w:rPr>
            </w:pPr>
            <w:r w:rsidRPr="002B0AF2">
              <w:rPr>
                <w:b/>
                <w:sz w:val="26"/>
                <w:szCs w:val="26"/>
              </w:rPr>
              <w:t>1.4. PSRN of the issuer</w:t>
            </w:r>
          </w:p>
        </w:tc>
        <w:tc>
          <w:tcPr>
            <w:tcW w:w="6237" w:type="dxa"/>
          </w:tcPr>
          <w:p w:rsidR="002B0AF2" w:rsidRPr="006537DD" w:rsidRDefault="002B0AF2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2B0AF2" w:rsidRPr="006537DD" w:rsidTr="00F61FF8">
        <w:tc>
          <w:tcPr>
            <w:tcW w:w="4253" w:type="dxa"/>
          </w:tcPr>
          <w:p w:rsidR="002B0AF2" w:rsidRPr="002B0AF2" w:rsidRDefault="002B0AF2" w:rsidP="00126C80">
            <w:pPr>
              <w:rPr>
                <w:b/>
                <w:sz w:val="26"/>
                <w:szCs w:val="26"/>
              </w:rPr>
            </w:pPr>
            <w:r w:rsidRPr="002B0AF2">
              <w:rPr>
                <w:b/>
                <w:sz w:val="26"/>
                <w:szCs w:val="26"/>
              </w:rPr>
              <w:t>1.5. TIN of the issuer</w:t>
            </w:r>
          </w:p>
        </w:tc>
        <w:tc>
          <w:tcPr>
            <w:tcW w:w="6237" w:type="dxa"/>
          </w:tcPr>
          <w:p w:rsidR="002B0AF2" w:rsidRPr="006537DD" w:rsidRDefault="002B0AF2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2B0AF2" w:rsidRPr="006537DD" w:rsidTr="00F61FF8">
        <w:tc>
          <w:tcPr>
            <w:tcW w:w="4253" w:type="dxa"/>
          </w:tcPr>
          <w:p w:rsidR="002B0AF2" w:rsidRPr="002B0AF2" w:rsidRDefault="002B0AF2" w:rsidP="00126C80">
            <w:pPr>
              <w:rPr>
                <w:b/>
                <w:sz w:val="26"/>
                <w:szCs w:val="26"/>
                <w:lang w:val="en-US"/>
              </w:rPr>
            </w:pPr>
            <w:r w:rsidRPr="002B0AF2">
              <w:rPr>
                <w:b/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237" w:type="dxa"/>
          </w:tcPr>
          <w:p w:rsidR="002B0AF2" w:rsidRPr="006537DD" w:rsidRDefault="002B0AF2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2B0AF2" w:rsidRPr="00623E5F" w:rsidTr="00F61FF8">
        <w:tc>
          <w:tcPr>
            <w:tcW w:w="4253" w:type="dxa"/>
          </w:tcPr>
          <w:p w:rsidR="002B0AF2" w:rsidRPr="002B0AF2" w:rsidRDefault="002B0AF2" w:rsidP="00126C80">
            <w:pPr>
              <w:rPr>
                <w:b/>
                <w:sz w:val="26"/>
                <w:szCs w:val="26"/>
                <w:lang w:val="en-US"/>
              </w:rPr>
            </w:pPr>
            <w:r w:rsidRPr="002B0AF2">
              <w:rPr>
                <w:b/>
                <w:sz w:val="26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6237" w:type="dxa"/>
          </w:tcPr>
          <w:p w:rsidR="002B0AF2" w:rsidRPr="008F453F" w:rsidRDefault="002B0AF2" w:rsidP="006A7084">
            <w:pPr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8F453F">
              <w:rPr>
                <w:sz w:val="26"/>
                <w:szCs w:val="26"/>
                <w:lang w:val="en-US"/>
              </w:rPr>
              <w:t>://</w:t>
            </w:r>
            <w:hyperlink r:id="rId9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8F453F">
                <w:rPr>
                  <w:sz w:val="26"/>
                  <w:szCs w:val="26"/>
                  <w:lang w:val="en-US"/>
                </w:rPr>
                <w:t>.</w:t>
              </w:r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r w:rsidRPr="008F453F">
                <w:rPr>
                  <w:sz w:val="26"/>
                  <w:szCs w:val="26"/>
                  <w:lang w:val="en-US"/>
                </w:rPr>
                <w:t>.</w:t>
              </w:r>
              <w:r w:rsidRPr="006537DD">
                <w:rPr>
                  <w:sz w:val="26"/>
                  <w:szCs w:val="26"/>
                  <w:lang w:val="en-US"/>
                </w:rPr>
                <w:t>ru</w:t>
              </w:r>
            </w:hyperlink>
            <w:r w:rsidRPr="008F453F">
              <w:rPr>
                <w:sz w:val="26"/>
                <w:szCs w:val="26"/>
                <w:lang w:val="en-US"/>
              </w:rPr>
              <w:t xml:space="preserve">  </w:t>
            </w:r>
          </w:p>
          <w:p w:rsidR="002B0AF2" w:rsidRPr="008F453F" w:rsidRDefault="000C18E8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10" w:history="1">
              <w:r w:rsidR="002B0AF2" w:rsidRPr="008F453F">
                <w:rPr>
                  <w:rStyle w:val="af4"/>
                  <w:rFonts w:ascii="Times New Roman" w:hAnsi="Times New Roman" w:cs="Times New Roman"/>
                  <w:sz w:val="26"/>
                  <w:szCs w:val="26"/>
                  <w:lang w:val="en-US"/>
                </w:rPr>
                <w:t>http://www.e-disclosure.ru/portal/company.aspx?id=2827</w:t>
              </w:r>
            </w:hyperlink>
            <w:r w:rsidR="002B0AF2" w:rsidRPr="008F45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2B0AF2" w:rsidRPr="008F453F" w:rsidRDefault="002B0AF2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B0AF2" w:rsidRPr="006537DD" w:rsidTr="00F61FF8">
        <w:tc>
          <w:tcPr>
            <w:tcW w:w="4253" w:type="dxa"/>
          </w:tcPr>
          <w:p w:rsidR="002B0AF2" w:rsidRPr="002B0AF2" w:rsidRDefault="002B0AF2" w:rsidP="00126C80">
            <w:pPr>
              <w:rPr>
                <w:b/>
                <w:sz w:val="26"/>
                <w:szCs w:val="26"/>
                <w:lang w:val="en-US"/>
              </w:rPr>
            </w:pPr>
            <w:r w:rsidRPr="002B0AF2">
              <w:rPr>
                <w:b/>
                <w:sz w:val="26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237" w:type="dxa"/>
          </w:tcPr>
          <w:p w:rsidR="002B0AF2" w:rsidRPr="006537DD" w:rsidRDefault="002B0AF2" w:rsidP="002B0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February </w:t>
            </w:r>
            <w:r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6537DD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</w:p>
        </w:tc>
      </w:tr>
      <w:tr w:rsidR="00E57436" w:rsidRPr="006537DD" w:rsidTr="00F61FF8">
        <w:tc>
          <w:tcPr>
            <w:tcW w:w="10490" w:type="dxa"/>
            <w:gridSpan w:val="2"/>
          </w:tcPr>
          <w:p w:rsidR="00E57436" w:rsidRPr="002B0AF2" w:rsidRDefault="00E57436" w:rsidP="002B0AF2">
            <w:pPr>
              <w:jc w:val="center"/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</w:rPr>
              <w:t xml:space="preserve">2. </w:t>
            </w:r>
            <w:r w:rsidR="002B0AF2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4D0A6C" w:rsidRPr="006537DD" w:rsidTr="00F61FF8">
        <w:trPr>
          <w:trHeight w:val="3542"/>
        </w:trPr>
        <w:tc>
          <w:tcPr>
            <w:tcW w:w="10490" w:type="dxa"/>
            <w:gridSpan w:val="2"/>
          </w:tcPr>
          <w:p w:rsidR="002B0AF2" w:rsidRPr="00E45128" w:rsidRDefault="002B0AF2" w:rsidP="002B0AF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2.1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quorum for the meeting of the Issuers’ Board of Directors and election returns on decision making</w:t>
            </w:r>
            <w:r w:rsidRPr="00E451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</w:p>
          <w:p w:rsidR="002B0AF2" w:rsidRDefault="002B0AF2" w:rsidP="002B0AF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of the Board of Directors: eleven (11) in number.</w:t>
            </w:r>
          </w:p>
          <w:p w:rsidR="002B0AF2" w:rsidRDefault="002B0AF2" w:rsidP="002B0AF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participated in the meeting: eleven (11) in number.</w:t>
            </w:r>
          </w:p>
          <w:p w:rsidR="002B0AF2" w:rsidRPr="00E45128" w:rsidRDefault="002B0AF2" w:rsidP="002B0AF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The quorum of</w:t>
            </w:r>
            <w:r w:rsidRPr="007E3DD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PJSC Kubanenergo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Board of Directors is present</w:t>
            </w:r>
            <w:r w:rsidRPr="00E4512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2B0AF2" w:rsidRPr="006537DD" w:rsidRDefault="002B0AF2" w:rsidP="002B0A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Election</w:t>
            </w:r>
            <w:r w:rsidRPr="00222B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returns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2B0AF2" w:rsidRPr="006537DD" w:rsidTr="00117F04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2B0AF2" w:rsidRPr="00222B40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2B0AF2" w:rsidRPr="00222B40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Number of votes</w:t>
                  </w:r>
                </w:p>
              </w:tc>
            </w:tr>
            <w:tr w:rsidR="002B0AF2" w:rsidRPr="006537DD" w:rsidTr="00117F04">
              <w:trPr>
                <w:jc w:val="center"/>
              </w:trPr>
              <w:tc>
                <w:tcPr>
                  <w:tcW w:w="1339" w:type="dxa"/>
                  <w:vMerge/>
                </w:tcPr>
                <w:p w:rsidR="002B0AF2" w:rsidRPr="006537DD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2B0AF2" w:rsidRPr="00222B40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“For”</w:t>
                  </w:r>
                </w:p>
              </w:tc>
              <w:tc>
                <w:tcPr>
                  <w:tcW w:w="1985" w:type="dxa"/>
                </w:tcPr>
                <w:p w:rsidR="002B0AF2" w:rsidRPr="00222B40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“Against”</w:t>
                  </w:r>
                </w:p>
              </w:tc>
              <w:tc>
                <w:tcPr>
                  <w:tcW w:w="2680" w:type="dxa"/>
                </w:tcPr>
                <w:p w:rsidR="002B0AF2" w:rsidRPr="00222B40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“Abstain”</w:t>
                  </w:r>
                </w:p>
              </w:tc>
            </w:tr>
            <w:tr w:rsidR="002B0AF2" w:rsidRPr="006537DD" w:rsidTr="00117F04">
              <w:trPr>
                <w:jc w:val="center"/>
              </w:trPr>
              <w:tc>
                <w:tcPr>
                  <w:tcW w:w="1339" w:type="dxa"/>
                </w:tcPr>
                <w:p w:rsidR="002B0AF2" w:rsidRPr="006537DD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2B0AF2" w:rsidRPr="006537DD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2B0AF2" w:rsidRPr="006537DD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2B0AF2" w:rsidRPr="006537DD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2B0AF2" w:rsidRPr="006537DD" w:rsidTr="00117F04">
              <w:trPr>
                <w:jc w:val="center"/>
              </w:trPr>
              <w:tc>
                <w:tcPr>
                  <w:tcW w:w="1339" w:type="dxa"/>
                </w:tcPr>
                <w:p w:rsidR="002B0AF2" w:rsidRPr="002B0AF2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2B0AF2" w:rsidRPr="002B0AF2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2B0AF2" w:rsidRPr="006537DD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2B0AF2" w:rsidRPr="006537DD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2B0AF2" w:rsidRPr="006537DD" w:rsidTr="00117F04">
              <w:trPr>
                <w:jc w:val="center"/>
              </w:trPr>
              <w:tc>
                <w:tcPr>
                  <w:tcW w:w="1339" w:type="dxa"/>
                </w:tcPr>
                <w:p w:rsidR="002B0AF2" w:rsidRPr="002B0AF2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2B0AF2" w:rsidRPr="002B0AF2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2B0AF2" w:rsidRPr="006537DD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2B0AF2" w:rsidRPr="006537DD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2B0AF2" w:rsidRPr="006537DD" w:rsidTr="00117F04">
              <w:trPr>
                <w:jc w:val="center"/>
              </w:trPr>
              <w:tc>
                <w:tcPr>
                  <w:tcW w:w="1339" w:type="dxa"/>
                </w:tcPr>
                <w:p w:rsidR="002B0AF2" w:rsidRPr="002B0AF2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1633" w:type="dxa"/>
                </w:tcPr>
                <w:p w:rsidR="002B0AF2" w:rsidRPr="002B0AF2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2B0AF2" w:rsidRPr="006537DD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2B0AF2" w:rsidRPr="006537DD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2B0AF2" w:rsidRPr="006537DD" w:rsidTr="00117F04">
              <w:trPr>
                <w:jc w:val="center"/>
              </w:trPr>
              <w:tc>
                <w:tcPr>
                  <w:tcW w:w="1339" w:type="dxa"/>
                </w:tcPr>
                <w:p w:rsidR="002B0AF2" w:rsidRPr="002B0AF2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5</w:t>
                  </w:r>
                </w:p>
              </w:tc>
              <w:tc>
                <w:tcPr>
                  <w:tcW w:w="1633" w:type="dxa"/>
                </w:tcPr>
                <w:p w:rsidR="002B0AF2" w:rsidRPr="002B0AF2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2B0AF2" w:rsidRPr="006537DD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2B0AF2" w:rsidRPr="006537DD" w:rsidRDefault="002B0AF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4D0A6C" w:rsidRPr="006537DD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0A6C" w:rsidRPr="00623E5F" w:rsidTr="00F61FF8">
        <w:tc>
          <w:tcPr>
            <w:tcW w:w="10490" w:type="dxa"/>
            <w:gridSpan w:val="2"/>
          </w:tcPr>
          <w:p w:rsidR="002B0AF2" w:rsidRPr="008F453F" w:rsidRDefault="002B0AF2" w:rsidP="002B0AF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8F45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8F45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8F45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4D0A6C" w:rsidRPr="007D425B" w:rsidRDefault="002B0AF2" w:rsidP="00ED0877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7D425B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7D425B">
              <w:rPr>
                <w:b/>
                <w:sz w:val="26"/>
                <w:szCs w:val="26"/>
                <w:lang w:val="en-US"/>
              </w:rPr>
              <w:t xml:space="preserve">. </w:t>
            </w:r>
            <w:r w:rsidR="00275923" w:rsidRPr="007D425B">
              <w:rPr>
                <w:b/>
                <w:sz w:val="26"/>
                <w:szCs w:val="26"/>
                <w:lang w:val="en-US"/>
              </w:rPr>
              <w:t>1</w:t>
            </w:r>
            <w:r w:rsidR="00212EFE" w:rsidRPr="007D425B">
              <w:rPr>
                <w:b/>
                <w:sz w:val="26"/>
                <w:szCs w:val="26"/>
                <w:lang w:val="en-US"/>
              </w:rPr>
              <w:t xml:space="preserve"> </w:t>
            </w:r>
            <w:r w:rsidR="007D425B" w:rsidRPr="007D425B">
              <w:rPr>
                <w:b/>
                <w:sz w:val="26"/>
                <w:szCs w:val="26"/>
                <w:lang w:val="en-US"/>
              </w:rPr>
              <w:t>“</w:t>
            </w:r>
            <w:r w:rsidR="007D425B" w:rsidRPr="007D425B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On the approval of business plans of PJSC Kubanenergo group of companies consolidated on principles of RAS and IFRS for 2020 and estimated figures for 2021-2024</w:t>
            </w:r>
            <w:r w:rsidR="007D425B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”.</w:t>
            </w:r>
          </w:p>
        </w:tc>
      </w:tr>
      <w:tr w:rsidR="00471361" w:rsidRPr="00623E5F" w:rsidTr="00F61FF8">
        <w:trPr>
          <w:trHeight w:val="409"/>
        </w:trPr>
        <w:tc>
          <w:tcPr>
            <w:tcW w:w="10490" w:type="dxa"/>
            <w:gridSpan w:val="2"/>
          </w:tcPr>
          <w:p w:rsidR="00471361" w:rsidRPr="007D425B" w:rsidRDefault="00471361" w:rsidP="006C2C4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F45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2.2.1. </w:t>
            </w:r>
            <w:r w:rsid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P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E10D4D" w:rsidRPr="007D425B" w:rsidRDefault="007D425B" w:rsidP="007D425B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bCs/>
                <w:i/>
                <w:iCs/>
                <w:sz w:val="23"/>
                <w:szCs w:val="23"/>
                <w:lang w:val="en-US"/>
              </w:rPr>
              <w:t>To approve the</w:t>
            </w:r>
            <w:r w:rsidRPr="007D425B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D425B">
              <w:rPr>
                <w:bCs/>
                <w:i/>
                <w:color w:val="000000" w:themeColor="text1"/>
                <w:szCs w:val="26"/>
                <w:lang w:val="en-US"/>
              </w:rPr>
              <w:t>business plans of PJSC Kubanenergo group of companies consolidated on principles of RAS and IFRS for 2020</w:t>
            </w:r>
            <w:r>
              <w:rPr>
                <w:bCs/>
                <w:i/>
                <w:color w:val="000000" w:themeColor="text1"/>
                <w:szCs w:val="26"/>
                <w:lang w:val="en-US"/>
              </w:rPr>
              <w:t xml:space="preserve"> and take into consideration the estimated figures for 2021-2024 in accordance with the Appendices No. 1, 2 to the present resolution of the Company’s Board of Directors.</w:t>
            </w:r>
          </w:p>
        </w:tc>
      </w:tr>
      <w:tr w:rsidR="0005018B" w:rsidRPr="00623E5F" w:rsidTr="00F61FF8">
        <w:tc>
          <w:tcPr>
            <w:tcW w:w="10490" w:type="dxa"/>
            <w:gridSpan w:val="2"/>
          </w:tcPr>
          <w:p w:rsidR="002B0AF2" w:rsidRPr="008F453F" w:rsidRDefault="002B0AF2" w:rsidP="002B0AF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8F45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8F45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8F45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05018B" w:rsidRPr="007D425B" w:rsidRDefault="007D425B" w:rsidP="00477075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8F453F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8F453F">
              <w:rPr>
                <w:b/>
                <w:sz w:val="26"/>
                <w:szCs w:val="26"/>
                <w:lang w:val="en-US"/>
              </w:rPr>
              <w:t>.</w:t>
            </w:r>
            <w:r w:rsidR="0005018B" w:rsidRPr="008F453F">
              <w:rPr>
                <w:b/>
                <w:sz w:val="26"/>
                <w:szCs w:val="26"/>
                <w:lang w:val="en-US"/>
              </w:rPr>
              <w:t xml:space="preserve"> </w:t>
            </w:r>
            <w:r w:rsidR="0005018B" w:rsidRPr="007D425B">
              <w:rPr>
                <w:b/>
                <w:sz w:val="26"/>
                <w:szCs w:val="26"/>
                <w:lang w:val="en-US"/>
              </w:rPr>
              <w:t xml:space="preserve">№2 </w:t>
            </w:r>
            <w:r>
              <w:rPr>
                <w:b/>
                <w:sz w:val="26"/>
                <w:szCs w:val="26"/>
                <w:lang w:val="en-US"/>
              </w:rPr>
              <w:t>“</w:t>
            </w:r>
            <w:r w:rsidRPr="007D425B">
              <w:rPr>
                <w:b/>
                <w:i/>
                <w:sz w:val="26"/>
                <w:szCs w:val="26"/>
                <w:lang w:val="en-US"/>
              </w:rPr>
              <w:t>On preliminary approval of the Agreement on the rules of procedure of collective bargaining of PJSC Kubanenergo”.</w:t>
            </w:r>
          </w:p>
        </w:tc>
      </w:tr>
      <w:tr w:rsidR="0005018B" w:rsidRPr="00623E5F" w:rsidTr="00F61FF8">
        <w:trPr>
          <w:trHeight w:val="848"/>
        </w:trPr>
        <w:tc>
          <w:tcPr>
            <w:tcW w:w="10490" w:type="dxa"/>
            <w:gridSpan w:val="2"/>
          </w:tcPr>
          <w:p w:rsidR="0005018B" w:rsidRPr="008F453F" w:rsidRDefault="0005018B" w:rsidP="0047707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F45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2.2.2. </w:t>
            </w:r>
            <w:r w:rsid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</w:t>
            </w:r>
            <w:r w:rsidR="007D425B" w:rsidRPr="008F45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="007D425B" w:rsidRPr="008F45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resolutions</w:t>
            </w:r>
            <w:r w:rsidR="007D425B" w:rsidRPr="008F45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passed</w:t>
            </w:r>
            <w:r w:rsidR="007D425B" w:rsidRPr="008F45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  <w:r w:rsidR="007D425B" w:rsidRPr="008F45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="007D425B" w:rsidRPr="008F45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Issuers</w:t>
            </w:r>
            <w:r w:rsidR="007D425B" w:rsidRPr="008F45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’ </w:t>
            </w:r>
            <w:r w:rsid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Board</w:t>
            </w:r>
            <w:r w:rsidR="007D425B" w:rsidRPr="008F45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="007D425B" w:rsidRPr="008F45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Directors</w:t>
            </w:r>
            <w:r w:rsidR="007D425B" w:rsidRPr="008F45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5018B" w:rsidRPr="003E78D6" w:rsidRDefault="00D97357" w:rsidP="003E78D6">
            <w:pPr>
              <w:tabs>
                <w:tab w:val="left" w:pos="1134"/>
              </w:tabs>
              <w:autoSpaceDE/>
              <w:autoSpaceDN/>
              <w:ind w:left="34" w:firstLine="675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Preliminary approve the </w:t>
            </w:r>
            <w:r w:rsidRPr="00D97357">
              <w:rPr>
                <w:bCs/>
                <w:i/>
                <w:iCs/>
                <w:sz w:val="23"/>
                <w:szCs w:val="23"/>
                <w:lang w:val="en-US"/>
              </w:rPr>
              <w:t>Agreement on the rules of procedure of collective bargaining of PJSC Kubanenergo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 in accordance with the Appendix No.3 to the present resolution of the Company</w:t>
            </w:r>
            <w:r w:rsidR="002B4991">
              <w:rPr>
                <w:bCs/>
                <w:i/>
                <w:iCs/>
                <w:sz w:val="23"/>
                <w:szCs w:val="23"/>
                <w:lang w:val="en-US"/>
              </w:rPr>
              <w:t>’s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 Board of Directors.</w:t>
            </w:r>
          </w:p>
        </w:tc>
      </w:tr>
      <w:tr w:rsidR="006C2C4C" w:rsidRPr="00623E5F" w:rsidTr="00F61FF8">
        <w:tc>
          <w:tcPr>
            <w:tcW w:w="10490" w:type="dxa"/>
            <w:gridSpan w:val="2"/>
          </w:tcPr>
          <w:p w:rsidR="002B0AF2" w:rsidRPr="008F453F" w:rsidRDefault="002B0AF2" w:rsidP="002B0AF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8F45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8F45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8F45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6C2C4C" w:rsidRPr="00D912C7" w:rsidRDefault="003E78D6" w:rsidP="00E31A33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E31A33" w:rsidRPr="003E78D6">
              <w:rPr>
                <w:b/>
                <w:sz w:val="26"/>
                <w:szCs w:val="26"/>
                <w:lang w:val="en-US"/>
              </w:rPr>
              <w:t>3</w:t>
            </w:r>
            <w:r w:rsidR="006C2C4C" w:rsidRPr="003E78D6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“</w:t>
            </w:r>
            <w:r w:rsidRPr="003E78D6">
              <w:rPr>
                <w:b/>
                <w:i/>
                <w:sz w:val="26"/>
                <w:szCs w:val="26"/>
                <w:lang w:val="en-US"/>
              </w:rPr>
              <w:t xml:space="preserve">On consideration of the report of General Director on the implementation of non-core assets register for the </w:t>
            </w:r>
            <w:r>
              <w:rPr>
                <w:b/>
                <w:i/>
                <w:sz w:val="26"/>
                <w:szCs w:val="26"/>
                <w:lang w:val="en-US"/>
              </w:rPr>
              <w:t xml:space="preserve">fourth </w:t>
            </w:r>
            <w:r w:rsidRPr="003E78D6">
              <w:rPr>
                <w:b/>
                <w:i/>
                <w:sz w:val="26"/>
                <w:szCs w:val="26"/>
                <w:lang w:val="en-US"/>
              </w:rPr>
              <w:t>quarter (Q</w:t>
            </w:r>
            <w:r>
              <w:rPr>
                <w:b/>
                <w:i/>
                <w:sz w:val="26"/>
                <w:szCs w:val="26"/>
                <w:lang w:val="en-US"/>
              </w:rPr>
              <w:t>4</w:t>
            </w:r>
            <w:r w:rsidRPr="003E78D6">
              <w:rPr>
                <w:b/>
                <w:i/>
                <w:sz w:val="26"/>
                <w:szCs w:val="26"/>
                <w:lang w:val="en-US"/>
              </w:rPr>
              <w:t>) of 2019</w:t>
            </w:r>
            <w:r>
              <w:rPr>
                <w:b/>
                <w:i/>
                <w:sz w:val="26"/>
                <w:szCs w:val="26"/>
                <w:lang w:val="en-US"/>
              </w:rPr>
              <w:t xml:space="preserve"> and 2019</w:t>
            </w:r>
            <w:r w:rsidRPr="003E78D6">
              <w:rPr>
                <w:b/>
                <w:i/>
                <w:sz w:val="26"/>
                <w:szCs w:val="26"/>
                <w:lang w:val="en-US"/>
              </w:rPr>
              <w:t>, on the approval of the updated register of non-core assets of PJSC Kubanenergo</w:t>
            </w:r>
            <w:r>
              <w:rPr>
                <w:b/>
                <w:sz w:val="26"/>
                <w:szCs w:val="26"/>
                <w:lang w:val="en-US"/>
              </w:rPr>
              <w:t>”.</w:t>
            </w:r>
          </w:p>
        </w:tc>
      </w:tr>
      <w:tr w:rsidR="006C2C4C" w:rsidRPr="00623E5F" w:rsidTr="00F61FF8">
        <w:trPr>
          <w:trHeight w:val="848"/>
        </w:trPr>
        <w:tc>
          <w:tcPr>
            <w:tcW w:w="10490" w:type="dxa"/>
            <w:gridSpan w:val="2"/>
          </w:tcPr>
          <w:p w:rsidR="007D425B" w:rsidRDefault="006C2C4C" w:rsidP="0019154E">
            <w:pPr>
              <w:tabs>
                <w:tab w:val="left" w:pos="743"/>
              </w:tabs>
              <w:autoSpaceDE/>
              <w:autoSpaceDN/>
              <w:ind w:left="34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8F453F">
              <w:rPr>
                <w:sz w:val="26"/>
                <w:szCs w:val="26"/>
                <w:lang w:val="en-US"/>
              </w:rPr>
              <w:lastRenderedPageBreak/>
              <w:t>2.2.</w:t>
            </w:r>
            <w:r w:rsidR="00E31A33" w:rsidRPr="008F453F">
              <w:rPr>
                <w:sz w:val="26"/>
                <w:szCs w:val="26"/>
                <w:lang w:val="en-US"/>
              </w:rPr>
              <w:t>3</w:t>
            </w:r>
            <w:r w:rsidRPr="008F453F">
              <w:rPr>
                <w:sz w:val="26"/>
                <w:szCs w:val="26"/>
                <w:lang w:val="en-US"/>
              </w:rPr>
              <w:t xml:space="preserve">. </w:t>
            </w:r>
            <w:r w:rsidR="007D425B">
              <w:rPr>
                <w:sz w:val="26"/>
                <w:szCs w:val="26"/>
                <w:lang w:val="en-US"/>
              </w:rPr>
              <w:t>Content of resolutions passed by the Issuers’ Board of Directors</w:t>
            </w:r>
            <w:r w:rsidR="007D425B" w:rsidRPr="007D425B">
              <w:rPr>
                <w:sz w:val="26"/>
                <w:szCs w:val="26"/>
                <w:lang w:val="en-US"/>
              </w:rPr>
              <w:t>:</w:t>
            </w:r>
          </w:p>
          <w:p w:rsidR="003E78D6" w:rsidRPr="003E78D6" w:rsidRDefault="0005018B" w:rsidP="0019154E">
            <w:pPr>
              <w:tabs>
                <w:tab w:val="left" w:pos="743"/>
              </w:tabs>
              <w:autoSpaceDE/>
              <w:autoSpaceDN/>
              <w:ind w:left="34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8F453F">
              <w:rPr>
                <w:bCs/>
                <w:i/>
                <w:iCs/>
                <w:sz w:val="23"/>
                <w:szCs w:val="23"/>
                <w:lang w:val="en-US"/>
              </w:rPr>
              <w:t xml:space="preserve">          </w:t>
            </w:r>
            <w:r w:rsidR="0019154E" w:rsidRPr="003E78D6">
              <w:rPr>
                <w:bCs/>
                <w:i/>
                <w:iCs/>
                <w:sz w:val="23"/>
                <w:szCs w:val="23"/>
                <w:lang w:val="en-US"/>
              </w:rPr>
              <w:t xml:space="preserve">1. </w:t>
            </w:r>
            <w:r w:rsidR="003E78D6">
              <w:rPr>
                <w:bCs/>
                <w:i/>
                <w:iCs/>
                <w:sz w:val="23"/>
                <w:szCs w:val="23"/>
                <w:lang w:val="en-US"/>
              </w:rPr>
              <w:t xml:space="preserve">Take into consideration the report </w:t>
            </w:r>
            <w:r w:rsidR="003E78D6" w:rsidRPr="003E78D6">
              <w:rPr>
                <w:bCs/>
                <w:i/>
                <w:iCs/>
                <w:sz w:val="23"/>
                <w:szCs w:val="23"/>
                <w:lang w:val="en-US"/>
              </w:rPr>
              <w:t>of General Director on the implementation of non-core assets register for the fourt</w:t>
            </w:r>
            <w:r w:rsidR="003E78D6">
              <w:rPr>
                <w:bCs/>
                <w:i/>
                <w:iCs/>
                <w:sz w:val="23"/>
                <w:szCs w:val="23"/>
                <w:lang w:val="en-US"/>
              </w:rPr>
              <w:t>h quarter (Q4) of 2019 and 2019 in accordance with the Appendix No. 4 to the present resolution of the Company</w:t>
            </w:r>
            <w:r w:rsidR="002B4991">
              <w:rPr>
                <w:bCs/>
                <w:i/>
                <w:iCs/>
                <w:sz w:val="23"/>
                <w:szCs w:val="23"/>
                <w:lang w:val="en-US"/>
              </w:rPr>
              <w:t>’s</w:t>
            </w:r>
            <w:r w:rsidR="003E78D6">
              <w:rPr>
                <w:bCs/>
                <w:i/>
                <w:iCs/>
                <w:sz w:val="23"/>
                <w:szCs w:val="23"/>
                <w:lang w:val="en-US"/>
              </w:rPr>
              <w:t xml:space="preserve"> Board of Directors. </w:t>
            </w:r>
          </w:p>
          <w:p w:rsidR="006C2C4C" w:rsidRPr="00C543B7" w:rsidRDefault="0019154E" w:rsidP="00C543B7">
            <w:pPr>
              <w:tabs>
                <w:tab w:val="left" w:pos="601"/>
                <w:tab w:val="left" w:pos="1134"/>
              </w:tabs>
              <w:autoSpaceDE/>
              <w:autoSpaceDN/>
              <w:ind w:left="34" w:firstLine="567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3E78D6">
              <w:rPr>
                <w:bCs/>
                <w:i/>
                <w:iCs/>
                <w:sz w:val="23"/>
                <w:szCs w:val="23"/>
                <w:lang w:val="en-US"/>
              </w:rPr>
              <w:t xml:space="preserve">2. </w:t>
            </w:r>
            <w:r w:rsidR="003E78D6">
              <w:rPr>
                <w:bCs/>
                <w:i/>
                <w:iCs/>
                <w:sz w:val="23"/>
                <w:szCs w:val="23"/>
                <w:lang w:val="en-US"/>
              </w:rPr>
              <w:t>To approve the</w:t>
            </w:r>
            <w:r w:rsidR="003E78D6" w:rsidRPr="003E78D6">
              <w:rPr>
                <w:lang w:val="en-US"/>
              </w:rPr>
              <w:t xml:space="preserve"> </w:t>
            </w:r>
            <w:r w:rsidR="003E78D6" w:rsidRPr="003E78D6">
              <w:rPr>
                <w:bCs/>
                <w:i/>
                <w:iCs/>
                <w:sz w:val="23"/>
                <w:szCs w:val="23"/>
                <w:lang w:val="en-US"/>
              </w:rPr>
              <w:t>updated register of non-core assets of PJSC Kubanenergo</w:t>
            </w:r>
            <w:r w:rsidR="00C543B7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C543B7" w:rsidRPr="00C543B7">
              <w:rPr>
                <w:bCs/>
                <w:i/>
                <w:iCs/>
                <w:sz w:val="23"/>
                <w:szCs w:val="23"/>
                <w:lang w:val="en-US"/>
              </w:rPr>
              <w:t xml:space="preserve">in accordance with the Appendix No. </w:t>
            </w:r>
            <w:r w:rsidR="00C543B7">
              <w:rPr>
                <w:bCs/>
                <w:i/>
                <w:iCs/>
                <w:sz w:val="23"/>
                <w:szCs w:val="23"/>
                <w:lang w:val="en-US"/>
              </w:rPr>
              <w:t xml:space="preserve">5 </w:t>
            </w:r>
            <w:r w:rsidR="00C543B7" w:rsidRPr="00C543B7">
              <w:rPr>
                <w:bCs/>
                <w:i/>
                <w:iCs/>
                <w:sz w:val="23"/>
                <w:szCs w:val="23"/>
                <w:lang w:val="en-US"/>
              </w:rPr>
              <w:t>to the present resolution of the Company</w:t>
            </w:r>
            <w:r w:rsidR="002B4991">
              <w:rPr>
                <w:bCs/>
                <w:i/>
                <w:iCs/>
                <w:sz w:val="23"/>
                <w:szCs w:val="23"/>
                <w:lang w:val="en-US"/>
              </w:rPr>
              <w:t>’s</w:t>
            </w:r>
            <w:r w:rsidR="00C543B7" w:rsidRPr="00C543B7">
              <w:rPr>
                <w:bCs/>
                <w:i/>
                <w:iCs/>
                <w:sz w:val="23"/>
                <w:szCs w:val="23"/>
                <w:lang w:val="en-US"/>
              </w:rPr>
              <w:t xml:space="preserve"> Board of Directors. </w:t>
            </w:r>
          </w:p>
        </w:tc>
      </w:tr>
      <w:tr w:rsidR="0019154E" w:rsidRPr="00623E5F" w:rsidTr="00F61FF8">
        <w:tc>
          <w:tcPr>
            <w:tcW w:w="10490" w:type="dxa"/>
            <w:gridSpan w:val="2"/>
          </w:tcPr>
          <w:p w:rsidR="002B0AF2" w:rsidRPr="00623E5F" w:rsidRDefault="002B0AF2" w:rsidP="002B0AF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623E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623E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623E5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19154E" w:rsidRPr="00623E5F" w:rsidRDefault="00623E5F" w:rsidP="00623E5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 No.</w:t>
            </w:r>
            <w:r w:rsidR="0019154E" w:rsidRPr="00623E5F">
              <w:rPr>
                <w:b/>
                <w:sz w:val="26"/>
                <w:szCs w:val="26"/>
                <w:lang w:val="en-US"/>
              </w:rPr>
              <w:t xml:space="preserve">4 </w:t>
            </w:r>
            <w:bookmarkStart w:id="0" w:name="_GoBack"/>
            <w:bookmarkEnd w:id="0"/>
            <w:r w:rsidRPr="00623E5F">
              <w:rPr>
                <w:b/>
                <w:i/>
                <w:sz w:val="26"/>
                <w:szCs w:val="26"/>
                <w:lang w:val="en-US"/>
              </w:rPr>
              <w:t>“On the approval of the insurers of PJSC Kubanenergo”.</w:t>
            </w:r>
          </w:p>
        </w:tc>
      </w:tr>
      <w:tr w:rsidR="0019154E" w:rsidRPr="006537DD" w:rsidTr="00F61FF8">
        <w:trPr>
          <w:trHeight w:val="848"/>
        </w:trPr>
        <w:tc>
          <w:tcPr>
            <w:tcW w:w="10490" w:type="dxa"/>
            <w:gridSpan w:val="2"/>
          </w:tcPr>
          <w:p w:rsidR="0019154E" w:rsidRPr="007D425B" w:rsidRDefault="0019154E" w:rsidP="00CA2C0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F45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2.2.4. </w:t>
            </w:r>
            <w:r w:rsid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="007D425B" w:rsidRP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19154E" w:rsidRPr="00B352BF" w:rsidRDefault="0019154E" w:rsidP="0019154E">
            <w:pPr>
              <w:widowControl w:val="0"/>
              <w:jc w:val="both"/>
              <w:rPr>
                <w:rFonts w:eastAsia="Andale Sans UI"/>
                <w:i/>
                <w:kern w:val="3"/>
                <w:lang w:val="en-US" w:bidi="fa-IR"/>
              </w:rPr>
            </w:pPr>
            <w:r w:rsidRPr="007D425B">
              <w:rPr>
                <w:bCs/>
                <w:i/>
                <w:iCs/>
                <w:sz w:val="23"/>
                <w:szCs w:val="23"/>
                <w:lang w:val="en-US"/>
              </w:rPr>
              <w:t xml:space="preserve">          </w:t>
            </w:r>
            <w:r w:rsidR="00B352BF" w:rsidRPr="00B352BF">
              <w:rPr>
                <w:rFonts w:eastAsia="Andale Sans UI"/>
                <w:i/>
                <w:kern w:val="3"/>
                <w:lang w:val="en-US" w:bidi="fa-IR"/>
              </w:rPr>
              <w:t>To approve the following candidac</w:t>
            </w:r>
            <w:r w:rsidR="00B352BF">
              <w:rPr>
                <w:rFonts w:eastAsia="Andale Sans UI"/>
                <w:i/>
                <w:kern w:val="3"/>
                <w:lang w:val="en-US" w:bidi="fa-IR"/>
              </w:rPr>
              <w:t>ies</w:t>
            </w:r>
            <w:r w:rsidR="00B352BF" w:rsidRPr="00B352BF">
              <w:rPr>
                <w:rFonts w:eastAsia="Andale Sans UI"/>
                <w:i/>
                <w:kern w:val="3"/>
                <w:lang w:val="en-US" w:bidi="fa-IR"/>
              </w:rPr>
              <w:t xml:space="preserve"> acting as the insurer</w:t>
            </w:r>
            <w:r w:rsidR="00B352BF">
              <w:rPr>
                <w:rFonts w:eastAsia="Andale Sans UI"/>
                <w:i/>
                <w:kern w:val="3"/>
                <w:lang w:val="en-US" w:bidi="fa-IR"/>
              </w:rPr>
              <w:t>s</w:t>
            </w:r>
            <w:r w:rsidR="002B4991">
              <w:rPr>
                <w:rFonts w:eastAsia="Andale Sans UI"/>
                <w:i/>
                <w:kern w:val="3"/>
                <w:lang w:val="en-US" w:bidi="fa-IR"/>
              </w:rPr>
              <w:t xml:space="preserve"> of the Company</w:t>
            </w:r>
            <w:r w:rsidR="00B352BF" w:rsidRPr="00B352BF">
              <w:rPr>
                <w:rFonts w:eastAsia="Andale Sans UI"/>
                <w:i/>
                <w:kern w:val="3"/>
                <w:lang w:val="en-US" w:bidi="fa-IR"/>
              </w:rPr>
              <w:t>:</w:t>
            </w:r>
          </w:p>
          <w:tbl>
            <w:tblPr>
              <w:tblW w:w="971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6"/>
              <w:gridCol w:w="3296"/>
              <w:gridCol w:w="2728"/>
            </w:tblGrid>
            <w:tr w:rsidR="0019154E" w:rsidRPr="00623E5F" w:rsidTr="005D7E71">
              <w:trPr>
                <w:trHeight w:val="695"/>
                <w:jc w:val="center"/>
              </w:trPr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154E" w:rsidRPr="0019154E" w:rsidRDefault="00B352BF" w:rsidP="0019154E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>
                    <w:rPr>
                      <w:i/>
                      <w:lang w:val="en-US"/>
                    </w:rPr>
                    <w:t>T</w:t>
                  </w:r>
                  <w:r w:rsidRPr="00B352BF">
                    <w:rPr>
                      <w:i/>
                    </w:rPr>
                    <w:t>ype of insurance</w:t>
                  </w:r>
                </w:p>
              </w:tc>
              <w:tc>
                <w:tcPr>
                  <w:tcW w:w="3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154E" w:rsidRPr="0019154E" w:rsidRDefault="00B352BF" w:rsidP="0019154E">
                  <w:pPr>
                    <w:autoSpaceDE/>
                    <w:autoSpaceDN/>
                    <w:spacing w:line="232" w:lineRule="auto"/>
                    <w:ind w:firstLine="3"/>
                    <w:jc w:val="center"/>
                    <w:rPr>
                      <w:i/>
                    </w:rPr>
                  </w:pPr>
                  <w:r>
                    <w:rPr>
                      <w:i/>
                      <w:lang w:val="en-US"/>
                    </w:rPr>
                    <w:t>I</w:t>
                  </w:r>
                  <w:r w:rsidRPr="00B352BF">
                    <w:rPr>
                      <w:i/>
                    </w:rPr>
                    <w:t>nsurance company</w:t>
                  </w:r>
                </w:p>
              </w:tc>
              <w:tc>
                <w:tcPr>
                  <w:tcW w:w="2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154E" w:rsidRPr="00B352BF" w:rsidRDefault="00B352BF" w:rsidP="00740389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>D</w:t>
                  </w:r>
                  <w:r w:rsidRPr="00B352BF">
                    <w:rPr>
                      <w:i/>
                      <w:lang w:val="en-US"/>
                    </w:rPr>
                    <w:t xml:space="preserve">uration of insurance </w:t>
                  </w:r>
                  <w:r w:rsidR="0019154E" w:rsidRPr="00B352BF">
                    <w:rPr>
                      <w:i/>
                      <w:lang w:val="en-US"/>
                    </w:rPr>
                    <w:t>(</w:t>
                  </w:r>
                  <w:r w:rsidR="00740389">
                    <w:rPr>
                      <w:i/>
                      <w:lang w:val="en-US"/>
                    </w:rPr>
                    <w:t>insurance policy period</w:t>
                  </w:r>
                  <w:r w:rsidR="0019154E" w:rsidRPr="00B352BF">
                    <w:rPr>
                      <w:i/>
                      <w:lang w:val="en-US"/>
                    </w:rPr>
                    <w:t>)</w:t>
                  </w:r>
                </w:p>
              </w:tc>
            </w:tr>
            <w:tr w:rsidR="0019154E" w:rsidRPr="0019154E" w:rsidTr="005D7E71">
              <w:trPr>
                <w:jc w:val="center"/>
              </w:trPr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31DAA" w:rsidRPr="00D97D5B" w:rsidRDefault="00831DAA" w:rsidP="00831DAA">
                  <w:pPr>
                    <w:autoSpaceDE/>
                    <w:autoSpaceDN/>
                    <w:spacing w:line="232" w:lineRule="auto"/>
                    <w:jc w:val="both"/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>Voluntary</w:t>
                  </w:r>
                  <w:r w:rsidRPr="00D97D5B">
                    <w:rPr>
                      <w:i/>
                      <w:lang w:val="en-US"/>
                    </w:rPr>
                    <w:t xml:space="preserve"> Vehicle </w:t>
                  </w:r>
                  <w:r>
                    <w:rPr>
                      <w:i/>
                      <w:lang w:val="en-US"/>
                    </w:rPr>
                    <w:t>I</w:t>
                  </w:r>
                  <w:r w:rsidRPr="00D97D5B">
                    <w:rPr>
                      <w:i/>
                      <w:lang w:val="en-US"/>
                    </w:rPr>
                    <w:t>nsurance</w:t>
                  </w:r>
                  <w:r w:rsidR="00D97D5B">
                    <w:rPr>
                      <w:i/>
                      <w:lang w:val="en-US"/>
                    </w:rPr>
                    <w:t xml:space="preserve"> (Casco insurance)</w:t>
                  </w:r>
                </w:p>
                <w:p w:rsidR="0019154E" w:rsidRPr="008F453F" w:rsidRDefault="0019154E" w:rsidP="00831DAA">
                  <w:pPr>
                    <w:autoSpaceDE/>
                    <w:autoSpaceDN/>
                    <w:spacing w:line="232" w:lineRule="auto"/>
                    <w:jc w:val="both"/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154E" w:rsidRPr="0019154E" w:rsidRDefault="00E10298" w:rsidP="00E10298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АО </w:t>
                  </w:r>
                  <w:r>
                    <w:rPr>
                      <w:i/>
                      <w:lang w:val="en-US"/>
                    </w:rPr>
                    <w:t>AlfaInsurance</w:t>
                  </w:r>
                </w:p>
              </w:tc>
              <w:tc>
                <w:tcPr>
                  <w:tcW w:w="2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154E" w:rsidRPr="0019154E" w:rsidRDefault="005D7E71" w:rsidP="0019154E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  <w:color w:val="000000"/>
                    </w:rPr>
                  </w:pPr>
                  <w:r>
                    <w:rPr>
                      <w:i/>
                      <w:lang w:val="en-US"/>
                    </w:rPr>
                    <w:t>from</w:t>
                  </w:r>
                  <w:r w:rsidR="0019154E" w:rsidRPr="0019154E">
                    <w:rPr>
                      <w:i/>
                    </w:rPr>
                    <w:t xml:space="preserve"> </w:t>
                  </w:r>
                  <w:r>
                    <w:rPr>
                      <w:i/>
                      <w:color w:val="000000"/>
                      <w:lang w:val="en-US"/>
                    </w:rPr>
                    <w:t xml:space="preserve">January 1, </w:t>
                  </w:r>
                  <w:r w:rsidR="0019154E" w:rsidRPr="0019154E">
                    <w:rPr>
                      <w:i/>
                      <w:color w:val="000000"/>
                    </w:rPr>
                    <w:t>2020</w:t>
                  </w:r>
                </w:p>
                <w:p w:rsidR="0019154E" w:rsidRPr="0019154E" w:rsidRDefault="005D7E71" w:rsidP="005D7E71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>
                    <w:rPr>
                      <w:i/>
                      <w:color w:val="000000"/>
                      <w:lang w:val="en-US"/>
                    </w:rPr>
                    <w:t>until</w:t>
                  </w:r>
                  <w:r w:rsidR="0019154E" w:rsidRPr="0019154E">
                    <w:rPr>
                      <w:i/>
                      <w:color w:val="000000"/>
                    </w:rPr>
                    <w:t xml:space="preserve"> </w:t>
                  </w:r>
                  <w:r>
                    <w:rPr>
                      <w:i/>
                      <w:color w:val="000000"/>
                      <w:lang w:val="en-US"/>
                    </w:rPr>
                    <w:t xml:space="preserve">December 31, </w:t>
                  </w:r>
                  <w:r w:rsidR="0019154E" w:rsidRPr="0019154E">
                    <w:rPr>
                      <w:i/>
                      <w:color w:val="000000"/>
                    </w:rPr>
                    <w:t>2020</w:t>
                  </w:r>
                </w:p>
              </w:tc>
            </w:tr>
            <w:tr w:rsidR="0019154E" w:rsidRPr="0019154E" w:rsidTr="005D7E71">
              <w:trPr>
                <w:trHeight w:val="435"/>
                <w:jc w:val="center"/>
              </w:trPr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154E" w:rsidRPr="005D7E71" w:rsidRDefault="005D7E71" w:rsidP="00F61FF8">
                  <w:pPr>
                    <w:autoSpaceDE/>
                    <w:autoSpaceDN/>
                    <w:spacing w:line="232" w:lineRule="auto"/>
                    <w:jc w:val="both"/>
                    <w:rPr>
                      <w:i/>
                      <w:lang w:val="en-US"/>
                    </w:rPr>
                  </w:pPr>
                  <w:r w:rsidRPr="005D7E71">
                    <w:rPr>
                      <w:i/>
                      <w:lang w:val="en-US"/>
                    </w:rPr>
                    <w:t>Compulsory Third Party insurance (CTP)</w:t>
                  </w:r>
                </w:p>
              </w:tc>
              <w:tc>
                <w:tcPr>
                  <w:tcW w:w="3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154E" w:rsidRPr="005D7E71" w:rsidRDefault="0019154E" w:rsidP="005D7E71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  <w:lang w:val="en-US"/>
                    </w:rPr>
                  </w:pPr>
                  <w:r w:rsidRPr="0019154E">
                    <w:rPr>
                      <w:i/>
                    </w:rPr>
                    <w:t xml:space="preserve">АО </w:t>
                  </w:r>
                  <w:r w:rsidR="005D7E71">
                    <w:rPr>
                      <w:i/>
                      <w:lang w:val="en-US"/>
                    </w:rPr>
                    <w:t>SOGAZ</w:t>
                  </w:r>
                </w:p>
              </w:tc>
              <w:tc>
                <w:tcPr>
                  <w:tcW w:w="2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D7E71" w:rsidRPr="0019154E" w:rsidRDefault="005D7E71" w:rsidP="005D7E71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  <w:color w:val="000000"/>
                    </w:rPr>
                  </w:pPr>
                  <w:r>
                    <w:rPr>
                      <w:i/>
                      <w:lang w:val="en-US"/>
                    </w:rPr>
                    <w:t>from</w:t>
                  </w:r>
                  <w:r w:rsidRPr="0019154E">
                    <w:rPr>
                      <w:i/>
                    </w:rPr>
                    <w:t xml:space="preserve"> </w:t>
                  </w:r>
                  <w:r>
                    <w:rPr>
                      <w:i/>
                      <w:color w:val="000000"/>
                      <w:lang w:val="en-US"/>
                    </w:rPr>
                    <w:t xml:space="preserve">January 1, </w:t>
                  </w:r>
                  <w:r w:rsidRPr="0019154E">
                    <w:rPr>
                      <w:i/>
                      <w:color w:val="000000"/>
                    </w:rPr>
                    <w:t>2020</w:t>
                  </w:r>
                </w:p>
                <w:p w:rsidR="0019154E" w:rsidRPr="0019154E" w:rsidRDefault="005D7E71" w:rsidP="005D7E71">
                  <w:pPr>
                    <w:autoSpaceDE/>
                    <w:autoSpaceDN/>
                    <w:jc w:val="center"/>
                    <w:rPr>
                      <w:i/>
                    </w:rPr>
                  </w:pPr>
                  <w:r>
                    <w:rPr>
                      <w:i/>
                      <w:color w:val="000000"/>
                      <w:lang w:val="en-US"/>
                    </w:rPr>
                    <w:t>until</w:t>
                  </w:r>
                  <w:r w:rsidRPr="0019154E">
                    <w:rPr>
                      <w:i/>
                      <w:color w:val="000000"/>
                    </w:rPr>
                    <w:t xml:space="preserve"> </w:t>
                  </w:r>
                  <w:r>
                    <w:rPr>
                      <w:i/>
                      <w:color w:val="000000"/>
                      <w:lang w:val="en-US"/>
                    </w:rPr>
                    <w:t xml:space="preserve">December 31, </w:t>
                  </w:r>
                  <w:r w:rsidRPr="0019154E">
                    <w:rPr>
                      <w:i/>
                      <w:color w:val="000000"/>
                    </w:rPr>
                    <w:t>2020</w:t>
                  </w:r>
                </w:p>
              </w:tc>
            </w:tr>
            <w:tr w:rsidR="00E10298" w:rsidRPr="0019154E" w:rsidTr="0090475B">
              <w:trPr>
                <w:jc w:val="center"/>
              </w:trPr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0298" w:rsidRPr="00C25E5B" w:rsidRDefault="00E10298" w:rsidP="0019154E">
                  <w:pPr>
                    <w:autoSpaceDE/>
                    <w:autoSpaceDN/>
                    <w:spacing w:line="232" w:lineRule="auto"/>
                    <w:jc w:val="both"/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 xml:space="preserve">Damage liability insurance </w:t>
                  </w:r>
                  <w:r w:rsidRPr="00C25E5B">
                    <w:rPr>
                      <w:i/>
                      <w:lang w:val="en-US"/>
                    </w:rPr>
                    <w:t>of</w:t>
                  </w:r>
                  <w:r w:rsidRPr="00C25E5B">
                    <w:rPr>
                      <w:lang w:val="en-US"/>
                    </w:rPr>
                    <w:t xml:space="preserve"> </w:t>
                  </w:r>
                  <w:r w:rsidRPr="00C25E5B">
                    <w:rPr>
                      <w:i/>
                      <w:lang w:val="en-US"/>
                    </w:rPr>
                    <w:t>hazardous facility owner as a result</w:t>
                  </w:r>
                  <w:r>
                    <w:rPr>
                      <w:i/>
                      <w:lang w:val="en-US"/>
                    </w:rPr>
                    <w:t xml:space="preserve"> of </w:t>
                  </w:r>
                  <w:r w:rsidRPr="00C25E5B">
                    <w:rPr>
                      <w:i/>
                      <w:lang w:val="en-US"/>
                    </w:rPr>
                    <w:t>accident at hazardous facility</w:t>
                  </w:r>
                  <w:r>
                    <w:rPr>
                      <w:i/>
                      <w:lang w:val="en-US"/>
                    </w:rPr>
                    <w:t xml:space="preserve"> (</w:t>
                  </w:r>
                  <w:r w:rsidRPr="00E10298">
                    <w:rPr>
                      <w:i/>
                      <w:lang w:val="en-US"/>
                    </w:rPr>
                    <w:t>hazardous facility</w:t>
                  </w:r>
                  <w:r w:rsidR="00740389">
                    <w:rPr>
                      <w:i/>
                      <w:lang w:val="en-US"/>
                    </w:rPr>
                    <w:t>)</w:t>
                  </w:r>
                </w:p>
                <w:p w:rsidR="00E10298" w:rsidRPr="00E10298" w:rsidRDefault="00E10298" w:rsidP="0019154E">
                  <w:pPr>
                    <w:autoSpaceDE/>
                    <w:autoSpaceDN/>
                    <w:spacing w:line="232" w:lineRule="auto"/>
                    <w:jc w:val="both"/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0298" w:rsidRPr="00E10298" w:rsidRDefault="00E10298" w:rsidP="00E10298">
                  <w:pPr>
                    <w:jc w:val="center"/>
                    <w:rPr>
                      <w:i/>
                    </w:rPr>
                  </w:pPr>
                  <w:r w:rsidRPr="00E10298">
                    <w:rPr>
                      <w:i/>
                    </w:rPr>
                    <w:t>АО AlfaInsurance</w:t>
                  </w:r>
                </w:p>
              </w:tc>
              <w:tc>
                <w:tcPr>
                  <w:tcW w:w="2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0298" w:rsidRPr="0019154E" w:rsidRDefault="00E10298" w:rsidP="005D7E71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  <w:color w:val="000000"/>
                    </w:rPr>
                  </w:pPr>
                  <w:r>
                    <w:rPr>
                      <w:i/>
                      <w:lang w:val="en-US"/>
                    </w:rPr>
                    <w:t>from</w:t>
                  </w:r>
                  <w:r w:rsidRPr="0019154E">
                    <w:rPr>
                      <w:i/>
                    </w:rPr>
                    <w:t xml:space="preserve"> </w:t>
                  </w:r>
                  <w:r>
                    <w:rPr>
                      <w:i/>
                      <w:color w:val="000000"/>
                      <w:lang w:val="en-US"/>
                    </w:rPr>
                    <w:t xml:space="preserve">January 1, </w:t>
                  </w:r>
                  <w:r w:rsidRPr="0019154E">
                    <w:rPr>
                      <w:i/>
                      <w:color w:val="000000"/>
                    </w:rPr>
                    <w:t>2020</w:t>
                  </w:r>
                </w:p>
                <w:p w:rsidR="00E10298" w:rsidRPr="0019154E" w:rsidRDefault="00E10298" w:rsidP="005D7E71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>
                    <w:rPr>
                      <w:i/>
                      <w:color w:val="000000"/>
                      <w:lang w:val="en-US"/>
                    </w:rPr>
                    <w:t>until</w:t>
                  </w:r>
                  <w:r w:rsidRPr="0019154E">
                    <w:rPr>
                      <w:i/>
                      <w:color w:val="000000"/>
                    </w:rPr>
                    <w:t xml:space="preserve"> </w:t>
                  </w:r>
                  <w:r>
                    <w:rPr>
                      <w:i/>
                      <w:color w:val="000000"/>
                      <w:lang w:val="en-US"/>
                    </w:rPr>
                    <w:t xml:space="preserve">December 31, </w:t>
                  </w:r>
                  <w:r w:rsidRPr="0019154E">
                    <w:rPr>
                      <w:i/>
                      <w:color w:val="000000"/>
                    </w:rPr>
                    <w:t>2020</w:t>
                  </w:r>
                </w:p>
              </w:tc>
            </w:tr>
            <w:tr w:rsidR="00E10298" w:rsidRPr="0019154E" w:rsidTr="0090475B">
              <w:trPr>
                <w:jc w:val="center"/>
              </w:trPr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0298" w:rsidRPr="00E10298" w:rsidRDefault="00E10298" w:rsidP="00E10298">
                  <w:pPr>
                    <w:autoSpaceDE/>
                    <w:autoSpaceDN/>
                    <w:spacing w:line="232" w:lineRule="auto"/>
                    <w:jc w:val="both"/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>V</w:t>
                  </w:r>
                  <w:r w:rsidRPr="00E10298">
                    <w:rPr>
                      <w:i/>
                    </w:rPr>
                    <w:t xml:space="preserve">oluntary </w:t>
                  </w:r>
                  <w:r>
                    <w:rPr>
                      <w:i/>
                      <w:lang w:val="en-US"/>
                    </w:rPr>
                    <w:t>H</w:t>
                  </w:r>
                  <w:r w:rsidRPr="00E10298">
                    <w:rPr>
                      <w:i/>
                    </w:rPr>
                    <w:t xml:space="preserve">ealth </w:t>
                  </w:r>
                  <w:r>
                    <w:rPr>
                      <w:i/>
                      <w:lang w:val="en-US"/>
                    </w:rPr>
                    <w:t>I</w:t>
                  </w:r>
                  <w:r w:rsidRPr="00E10298">
                    <w:rPr>
                      <w:i/>
                    </w:rPr>
                    <w:t>nsurance</w:t>
                  </w:r>
                  <w:r>
                    <w:rPr>
                      <w:i/>
                      <w:lang w:val="en-US"/>
                    </w:rPr>
                    <w:t xml:space="preserve"> (VHI)</w:t>
                  </w:r>
                </w:p>
              </w:tc>
              <w:tc>
                <w:tcPr>
                  <w:tcW w:w="3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0298" w:rsidRPr="00E10298" w:rsidRDefault="00E10298" w:rsidP="00E10298">
                  <w:pPr>
                    <w:jc w:val="center"/>
                    <w:rPr>
                      <w:i/>
                    </w:rPr>
                  </w:pPr>
                  <w:r w:rsidRPr="00E10298">
                    <w:rPr>
                      <w:i/>
                    </w:rPr>
                    <w:t>АО AlfaInsurance</w:t>
                  </w:r>
                </w:p>
              </w:tc>
              <w:tc>
                <w:tcPr>
                  <w:tcW w:w="2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0298" w:rsidRPr="0019154E" w:rsidRDefault="00E10298" w:rsidP="005D7E71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  <w:color w:val="000000"/>
                    </w:rPr>
                  </w:pPr>
                  <w:r>
                    <w:rPr>
                      <w:i/>
                      <w:lang w:val="en-US"/>
                    </w:rPr>
                    <w:t>from</w:t>
                  </w:r>
                  <w:r w:rsidRPr="0019154E">
                    <w:rPr>
                      <w:i/>
                    </w:rPr>
                    <w:t xml:space="preserve"> </w:t>
                  </w:r>
                  <w:r>
                    <w:rPr>
                      <w:i/>
                      <w:color w:val="000000"/>
                      <w:lang w:val="en-US"/>
                    </w:rPr>
                    <w:t xml:space="preserve">January 1, </w:t>
                  </w:r>
                  <w:r w:rsidRPr="0019154E">
                    <w:rPr>
                      <w:i/>
                      <w:color w:val="000000"/>
                    </w:rPr>
                    <w:t>2020</w:t>
                  </w:r>
                </w:p>
                <w:p w:rsidR="00E10298" w:rsidRPr="0019154E" w:rsidRDefault="00E10298" w:rsidP="005D7E71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>
                    <w:rPr>
                      <w:i/>
                      <w:color w:val="000000"/>
                      <w:lang w:val="en-US"/>
                    </w:rPr>
                    <w:t>until</w:t>
                  </w:r>
                  <w:r w:rsidRPr="0019154E">
                    <w:rPr>
                      <w:i/>
                      <w:color w:val="000000"/>
                    </w:rPr>
                    <w:t xml:space="preserve"> </w:t>
                  </w:r>
                  <w:r>
                    <w:rPr>
                      <w:i/>
                      <w:color w:val="000000"/>
                      <w:lang w:val="en-US"/>
                    </w:rPr>
                    <w:t xml:space="preserve">March 31, </w:t>
                  </w:r>
                  <w:r w:rsidRPr="0019154E">
                    <w:rPr>
                      <w:i/>
                      <w:color w:val="000000"/>
                    </w:rPr>
                    <w:t>2020</w:t>
                  </w:r>
                </w:p>
              </w:tc>
            </w:tr>
            <w:tr w:rsidR="00E10298" w:rsidRPr="0019154E" w:rsidTr="0090475B">
              <w:trPr>
                <w:jc w:val="center"/>
              </w:trPr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0298" w:rsidRPr="00740389" w:rsidRDefault="00740389" w:rsidP="00740389">
                  <w:pPr>
                    <w:autoSpaceDE/>
                    <w:autoSpaceDN/>
                    <w:spacing w:line="232" w:lineRule="auto"/>
                    <w:jc w:val="both"/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>P</w:t>
                  </w:r>
                  <w:r w:rsidRPr="00740389">
                    <w:rPr>
                      <w:i/>
                      <w:lang w:val="en-US"/>
                    </w:rPr>
                    <w:t xml:space="preserve">ersonal </w:t>
                  </w:r>
                  <w:r>
                    <w:rPr>
                      <w:i/>
                      <w:lang w:val="en-US"/>
                    </w:rPr>
                    <w:t>A</w:t>
                  </w:r>
                  <w:r w:rsidRPr="00740389">
                    <w:rPr>
                      <w:i/>
                      <w:lang w:val="en-US"/>
                    </w:rPr>
                    <w:t xml:space="preserve">ccident and </w:t>
                  </w:r>
                  <w:r>
                    <w:rPr>
                      <w:i/>
                      <w:lang w:val="en-US"/>
                    </w:rPr>
                    <w:t>S</w:t>
                  </w:r>
                  <w:r w:rsidRPr="00740389">
                    <w:rPr>
                      <w:i/>
                      <w:lang w:val="en-US"/>
                    </w:rPr>
                    <w:t xml:space="preserve">ickness </w:t>
                  </w:r>
                  <w:r>
                    <w:rPr>
                      <w:i/>
                      <w:lang w:val="en-US"/>
                    </w:rPr>
                    <w:t>I</w:t>
                  </w:r>
                  <w:r w:rsidRPr="00740389">
                    <w:rPr>
                      <w:i/>
                      <w:lang w:val="en-US"/>
                    </w:rPr>
                    <w:t>nsurance</w:t>
                  </w:r>
                </w:p>
              </w:tc>
              <w:tc>
                <w:tcPr>
                  <w:tcW w:w="3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0298" w:rsidRPr="00E10298" w:rsidRDefault="00E10298" w:rsidP="00E10298">
                  <w:pPr>
                    <w:jc w:val="center"/>
                    <w:rPr>
                      <w:i/>
                    </w:rPr>
                  </w:pPr>
                  <w:r w:rsidRPr="00E10298">
                    <w:rPr>
                      <w:i/>
                    </w:rPr>
                    <w:t>АО AlfaInsurance</w:t>
                  </w:r>
                </w:p>
              </w:tc>
              <w:tc>
                <w:tcPr>
                  <w:tcW w:w="2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0298" w:rsidRPr="0019154E" w:rsidRDefault="00E10298" w:rsidP="005D7E71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  <w:color w:val="000000"/>
                    </w:rPr>
                  </w:pPr>
                  <w:r>
                    <w:rPr>
                      <w:i/>
                      <w:lang w:val="en-US"/>
                    </w:rPr>
                    <w:t>from</w:t>
                  </w:r>
                  <w:r w:rsidRPr="0019154E">
                    <w:rPr>
                      <w:i/>
                    </w:rPr>
                    <w:t xml:space="preserve"> </w:t>
                  </w:r>
                  <w:r>
                    <w:rPr>
                      <w:i/>
                      <w:color w:val="000000"/>
                      <w:lang w:val="en-US"/>
                    </w:rPr>
                    <w:t xml:space="preserve">January 1, </w:t>
                  </w:r>
                  <w:r w:rsidRPr="0019154E">
                    <w:rPr>
                      <w:i/>
                      <w:color w:val="000000"/>
                    </w:rPr>
                    <w:t>2020</w:t>
                  </w:r>
                </w:p>
                <w:p w:rsidR="00E10298" w:rsidRPr="0019154E" w:rsidRDefault="00E10298" w:rsidP="005D7E71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>
                    <w:rPr>
                      <w:i/>
                      <w:color w:val="000000"/>
                      <w:lang w:val="en-US"/>
                    </w:rPr>
                    <w:t>until</w:t>
                  </w:r>
                  <w:r w:rsidRPr="0019154E">
                    <w:rPr>
                      <w:i/>
                      <w:color w:val="000000"/>
                    </w:rPr>
                    <w:t xml:space="preserve"> </w:t>
                  </w:r>
                  <w:r>
                    <w:rPr>
                      <w:i/>
                      <w:color w:val="000000"/>
                      <w:lang w:val="en-US"/>
                    </w:rPr>
                    <w:t xml:space="preserve">March 31, </w:t>
                  </w:r>
                  <w:r w:rsidRPr="0019154E">
                    <w:rPr>
                      <w:i/>
                      <w:color w:val="000000"/>
                    </w:rPr>
                    <w:t>2020</w:t>
                  </w:r>
                </w:p>
              </w:tc>
            </w:tr>
          </w:tbl>
          <w:p w:rsidR="0019154E" w:rsidRPr="006C3F70" w:rsidRDefault="0019154E" w:rsidP="00CA2C04">
            <w:pPr>
              <w:tabs>
                <w:tab w:val="left" w:pos="601"/>
                <w:tab w:val="left" w:pos="1134"/>
              </w:tabs>
              <w:autoSpaceDE/>
              <w:autoSpaceDN/>
              <w:ind w:left="34" w:firstLine="567"/>
              <w:contextualSpacing/>
              <w:jc w:val="both"/>
              <w:rPr>
                <w:i/>
              </w:rPr>
            </w:pPr>
          </w:p>
        </w:tc>
      </w:tr>
      <w:tr w:rsidR="0019154E" w:rsidRPr="00623E5F" w:rsidTr="00F61FF8">
        <w:tc>
          <w:tcPr>
            <w:tcW w:w="10490" w:type="dxa"/>
            <w:gridSpan w:val="2"/>
          </w:tcPr>
          <w:p w:rsidR="002B0AF2" w:rsidRPr="008F453F" w:rsidRDefault="002B0AF2" w:rsidP="002B0AF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8F45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8F45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8F453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19154E" w:rsidRPr="00E10298" w:rsidRDefault="00E10298" w:rsidP="0019154E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 No. 5</w:t>
            </w:r>
            <w:r w:rsidR="0019154E" w:rsidRPr="00E1029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“</w:t>
            </w:r>
            <w:r w:rsidRPr="00E10298">
              <w:rPr>
                <w:b/>
                <w:i/>
                <w:sz w:val="26"/>
                <w:szCs w:val="26"/>
                <w:lang w:val="en-US"/>
              </w:rPr>
              <w:t xml:space="preserve">On consideration of the report of General Director on maintaining the Insurance Coverage in the Company for the </w:t>
            </w:r>
            <w:r>
              <w:rPr>
                <w:b/>
                <w:i/>
                <w:sz w:val="26"/>
                <w:szCs w:val="26"/>
                <w:lang w:val="en-US"/>
              </w:rPr>
              <w:t>second</w:t>
            </w:r>
            <w:r w:rsidRPr="00E10298">
              <w:rPr>
                <w:b/>
                <w:i/>
                <w:sz w:val="26"/>
                <w:szCs w:val="26"/>
                <w:lang w:val="en-US"/>
              </w:rPr>
              <w:t xml:space="preserve"> quarter (Q</w:t>
            </w:r>
            <w:r>
              <w:rPr>
                <w:b/>
                <w:i/>
                <w:sz w:val="26"/>
                <w:szCs w:val="26"/>
                <w:lang w:val="en-US"/>
              </w:rPr>
              <w:t>2</w:t>
            </w:r>
            <w:r w:rsidRPr="00E10298">
              <w:rPr>
                <w:b/>
                <w:i/>
                <w:sz w:val="26"/>
                <w:szCs w:val="26"/>
                <w:lang w:val="en-US"/>
              </w:rPr>
              <w:t xml:space="preserve">) </w:t>
            </w:r>
            <w:r>
              <w:rPr>
                <w:b/>
                <w:i/>
                <w:sz w:val="26"/>
                <w:szCs w:val="26"/>
                <w:lang w:val="en-US"/>
              </w:rPr>
              <w:t xml:space="preserve">and the third quarter (Q3) </w:t>
            </w:r>
            <w:r w:rsidRPr="00E10298">
              <w:rPr>
                <w:b/>
                <w:i/>
                <w:sz w:val="26"/>
                <w:szCs w:val="26"/>
                <w:lang w:val="en-US"/>
              </w:rPr>
              <w:t>of 2019”.</w:t>
            </w:r>
          </w:p>
        </w:tc>
      </w:tr>
      <w:tr w:rsidR="0019154E" w:rsidRPr="00623E5F" w:rsidTr="00F61FF8">
        <w:trPr>
          <w:trHeight w:val="848"/>
        </w:trPr>
        <w:tc>
          <w:tcPr>
            <w:tcW w:w="10490" w:type="dxa"/>
            <w:gridSpan w:val="2"/>
          </w:tcPr>
          <w:p w:rsidR="0019154E" w:rsidRPr="007D425B" w:rsidRDefault="0019154E" w:rsidP="00CA2C0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10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2.2.5. </w:t>
            </w:r>
            <w:r w:rsid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="007D425B" w:rsidRPr="007D42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E10298" w:rsidRPr="00E10298" w:rsidRDefault="0019154E" w:rsidP="00E10298">
            <w:pPr>
              <w:tabs>
                <w:tab w:val="left" w:pos="743"/>
              </w:tabs>
              <w:autoSpaceDE/>
              <w:autoSpaceDN/>
              <w:ind w:left="34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7D425B">
              <w:rPr>
                <w:bCs/>
                <w:i/>
                <w:iCs/>
                <w:sz w:val="23"/>
                <w:szCs w:val="23"/>
                <w:lang w:val="en-US"/>
              </w:rPr>
              <w:t xml:space="preserve">          </w:t>
            </w:r>
            <w:r w:rsidRPr="00E10298">
              <w:rPr>
                <w:bCs/>
                <w:i/>
                <w:iCs/>
                <w:sz w:val="23"/>
                <w:szCs w:val="23"/>
                <w:lang w:val="en-US"/>
              </w:rPr>
              <w:t xml:space="preserve">1. </w:t>
            </w:r>
            <w:r w:rsidR="00E10298">
              <w:rPr>
                <w:bCs/>
                <w:i/>
                <w:iCs/>
                <w:sz w:val="23"/>
                <w:szCs w:val="23"/>
                <w:lang w:val="en-US"/>
              </w:rPr>
              <w:t>Take into</w:t>
            </w:r>
            <w:r w:rsidR="00E10298" w:rsidRPr="00E10298">
              <w:rPr>
                <w:bCs/>
                <w:i/>
                <w:iCs/>
                <w:sz w:val="23"/>
                <w:szCs w:val="23"/>
                <w:lang w:val="en-US"/>
              </w:rPr>
              <w:t xml:space="preserve"> consideration of the report on the implementation of no</w:t>
            </w:r>
            <w:r w:rsidR="00E10298">
              <w:rPr>
                <w:bCs/>
                <w:i/>
                <w:iCs/>
                <w:sz w:val="23"/>
                <w:szCs w:val="23"/>
                <w:lang w:val="en-US"/>
              </w:rPr>
              <w:t>n-core assets register for the fourth</w:t>
            </w:r>
            <w:r w:rsidR="00E10298" w:rsidRPr="00E10298">
              <w:rPr>
                <w:bCs/>
                <w:i/>
                <w:iCs/>
                <w:sz w:val="23"/>
                <w:szCs w:val="23"/>
                <w:lang w:val="en-US"/>
              </w:rPr>
              <w:t xml:space="preserve"> quarter (Q</w:t>
            </w:r>
            <w:r w:rsidR="00E10298">
              <w:rPr>
                <w:bCs/>
                <w:i/>
                <w:iCs/>
                <w:sz w:val="23"/>
                <w:szCs w:val="23"/>
                <w:lang w:val="en-US"/>
              </w:rPr>
              <w:t>4</w:t>
            </w:r>
            <w:r w:rsidR="00E10298" w:rsidRPr="00E10298">
              <w:rPr>
                <w:bCs/>
                <w:i/>
                <w:iCs/>
                <w:sz w:val="23"/>
                <w:szCs w:val="23"/>
                <w:lang w:val="en-US"/>
              </w:rPr>
              <w:t>)</w:t>
            </w:r>
            <w:r w:rsidR="00E10298">
              <w:rPr>
                <w:bCs/>
                <w:i/>
                <w:iCs/>
                <w:sz w:val="23"/>
                <w:szCs w:val="23"/>
                <w:lang w:val="en-US"/>
              </w:rPr>
              <w:t xml:space="preserve"> of 2019 and 2019 in accordance with </w:t>
            </w:r>
            <w:r w:rsidR="00E10298" w:rsidRPr="00E10298">
              <w:rPr>
                <w:bCs/>
                <w:i/>
                <w:iCs/>
                <w:sz w:val="23"/>
                <w:szCs w:val="23"/>
                <w:lang w:val="en-US"/>
              </w:rPr>
              <w:t>the Appendix No. 4 to the present resolution of the Company</w:t>
            </w:r>
            <w:r w:rsidR="002B4991">
              <w:rPr>
                <w:bCs/>
                <w:i/>
                <w:iCs/>
                <w:sz w:val="23"/>
                <w:szCs w:val="23"/>
                <w:lang w:val="en-US"/>
              </w:rPr>
              <w:t>’s</w:t>
            </w:r>
            <w:r w:rsidR="00E10298" w:rsidRPr="00E10298">
              <w:rPr>
                <w:bCs/>
                <w:i/>
                <w:iCs/>
                <w:sz w:val="23"/>
                <w:szCs w:val="23"/>
                <w:lang w:val="en-US"/>
              </w:rPr>
              <w:t xml:space="preserve"> Board of Directors. </w:t>
            </w:r>
          </w:p>
          <w:p w:rsidR="0019154E" w:rsidRPr="00E10298" w:rsidRDefault="00E10298" w:rsidP="00E10298">
            <w:pPr>
              <w:tabs>
                <w:tab w:val="left" w:pos="743"/>
              </w:tabs>
              <w:autoSpaceDE/>
              <w:autoSpaceDN/>
              <w:ind w:left="34" w:firstLine="567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E10298">
              <w:rPr>
                <w:bCs/>
                <w:i/>
                <w:iCs/>
                <w:sz w:val="23"/>
                <w:szCs w:val="23"/>
                <w:lang w:val="en-US"/>
              </w:rPr>
              <w:t>2. To approve the updated register of non-core assets of PJSC Kubanenergo in accordance with the Appendix No. 5 to the present resolution of the Company</w:t>
            </w:r>
            <w:r w:rsidR="002B4991">
              <w:rPr>
                <w:bCs/>
                <w:i/>
                <w:iCs/>
                <w:sz w:val="23"/>
                <w:szCs w:val="23"/>
                <w:lang w:val="en-US"/>
              </w:rPr>
              <w:t>’s</w:t>
            </w:r>
            <w:r w:rsidRPr="00E10298">
              <w:rPr>
                <w:bCs/>
                <w:i/>
                <w:iCs/>
                <w:sz w:val="23"/>
                <w:szCs w:val="23"/>
                <w:lang w:val="en-US"/>
              </w:rPr>
              <w:t xml:space="preserve"> Board of Directors.</w:t>
            </w:r>
          </w:p>
        </w:tc>
      </w:tr>
      <w:tr w:rsidR="00741003" w:rsidRPr="00623E5F" w:rsidTr="00F61FF8">
        <w:tc>
          <w:tcPr>
            <w:tcW w:w="10490" w:type="dxa"/>
            <w:gridSpan w:val="2"/>
            <w:shd w:val="clear" w:color="auto" w:fill="auto"/>
          </w:tcPr>
          <w:p w:rsidR="00741003" w:rsidRPr="002B0AF2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2B0A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2.3. </w:t>
            </w:r>
            <w:r w:rsidR="002B0AF2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of the meeting of the Issuer’s Board of Directors at which the r</w:t>
            </w:r>
            <w:r w:rsidR="002B0A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elevant resolutions were passed</w:t>
            </w:r>
            <w:r w:rsidR="00763856" w:rsidRPr="002B0A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763856"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2B0AF2"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February</w:t>
            </w:r>
            <w:r w:rsidR="002B0A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9154E"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21</w:t>
            </w:r>
            <w:r w:rsid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,</w:t>
            </w:r>
            <w:r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20</w:t>
            </w:r>
            <w:r w:rsidR="005D2945"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741003" w:rsidRPr="002B0AF2" w:rsidRDefault="00741003" w:rsidP="002B0AF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B0A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2.4. </w:t>
            </w:r>
            <w:r w:rsidR="002B0A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and number of the Meeting Minutes of the</w:t>
            </w:r>
            <w:r w:rsidR="002B0AF2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2B0AF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</w:t>
            </w:r>
            <w:r w:rsidR="002B0AF2" w:rsidRP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2B0AF2"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February 21,</w:t>
            </w:r>
            <w:r w:rsidR="0005018B"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="005D2945"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Minutes</w:t>
            </w:r>
            <w:r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No. </w:t>
            </w:r>
            <w:r w:rsidR="00E748F7"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ED0877"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7</w:t>
            </w:r>
            <w:r w:rsidR="0019154E"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7</w:t>
            </w:r>
            <w:r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/201</w:t>
            </w:r>
            <w:r w:rsidR="00933DFA"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</w:t>
            </w:r>
            <w:r w:rsidRPr="002B0AF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741003" w:rsidRPr="006537DD" w:rsidTr="00F61FF8">
        <w:tc>
          <w:tcPr>
            <w:tcW w:w="10490" w:type="dxa"/>
            <w:gridSpan w:val="2"/>
          </w:tcPr>
          <w:p w:rsidR="00741003" w:rsidRPr="002B0AF2" w:rsidRDefault="00741003" w:rsidP="002B0AF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2B0A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741003" w:rsidRPr="006537DD" w:rsidTr="00F61FF8">
        <w:trPr>
          <w:trHeight w:val="1357"/>
        </w:trPr>
        <w:tc>
          <w:tcPr>
            <w:tcW w:w="10490" w:type="dxa"/>
            <w:gridSpan w:val="2"/>
          </w:tcPr>
          <w:p w:rsidR="002B0AF2" w:rsidRPr="00C83D24" w:rsidRDefault="005D2945" w:rsidP="002B0AF2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2B0AF2">
              <w:rPr>
                <w:sz w:val="26"/>
                <w:szCs w:val="26"/>
                <w:lang w:val="en-US"/>
              </w:rPr>
              <w:t xml:space="preserve">3.1. </w:t>
            </w:r>
            <w:r w:rsidR="002B0AF2">
              <w:rPr>
                <w:rFonts w:eastAsia="Calibri"/>
                <w:sz w:val="26"/>
                <w:szCs w:val="26"/>
                <w:lang w:val="en-US"/>
              </w:rPr>
              <w:t>Head of Corporate Management</w:t>
            </w:r>
            <w:r w:rsidR="002B0AF2" w:rsidRPr="00FE05F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2B0AF2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:rsidR="005D2945" w:rsidRPr="002B0AF2" w:rsidRDefault="002B0AF2" w:rsidP="002B0AF2">
            <w:pPr>
              <w:rPr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and Shareholders’ Arrangements Department                </w:t>
            </w:r>
            <w:r w:rsidR="003F3556" w:rsidRPr="002B0AF2">
              <w:rPr>
                <w:sz w:val="26"/>
                <w:szCs w:val="26"/>
                <w:lang w:val="en-US"/>
              </w:rPr>
              <w:t xml:space="preserve">______________________ </w:t>
            </w:r>
            <w:r w:rsidR="003F3556">
              <w:rPr>
                <w:sz w:val="26"/>
                <w:szCs w:val="26"/>
              </w:rPr>
              <w:t>Е</w:t>
            </w:r>
            <w:r w:rsidR="003F3556" w:rsidRPr="002B0AF2">
              <w:rPr>
                <w:sz w:val="26"/>
                <w:szCs w:val="26"/>
                <w:lang w:val="en-US"/>
              </w:rPr>
              <w:t>.</w:t>
            </w:r>
            <w:r w:rsidR="003F3556">
              <w:rPr>
                <w:sz w:val="26"/>
                <w:szCs w:val="26"/>
              </w:rPr>
              <w:t>Е</w:t>
            </w:r>
            <w:r w:rsidR="003F3556" w:rsidRPr="002B0AF2">
              <w:rPr>
                <w:sz w:val="26"/>
                <w:szCs w:val="26"/>
                <w:lang w:val="en-US"/>
              </w:rPr>
              <w:t xml:space="preserve">. </w:t>
            </w:r>
            <w:r>
              <w:rPr>
                <w:sz w:val="26"/>
                <w:szCs w:val="26"/>
                <w:lang w:val="en-US"/>
              </w:rPr>
              <w:t>Didenko</w:t>
            </w:r>
          </w:p>
          <w:p w:rsidR="005D2945" w:rsidRPr="002B0AF2" w:rsidRDefault="005D2945" w:rsidP="005D2945">
            <w:pPr>
              <w:rPr>
                <w:sz w:val="26"/>
                <w:szCs w:val="26"/>
                <w:lang w:val="en-US"/>
              </w:rPr>
            </w:pPr>
            <w:r w:rsidRPr="002B0AF2">
              <w:rPr>
                <w:sz w:val="26"/>
                <w:szCs w:val="26"/>
                <w:lang w:val="en-US"/>
              </w:rPr>
              <w:t>(</w:t>
            </w:r>
            <w:r w:rsidR="002B0AF2">
              <w:rPr>
                <w:sz w:val="26"/>
                <w:szCs w:val="26"/>
                <w:lang w:val="en-US"/>
              </w:rPr>
              <w:t>per procuration</w:t>
            </w:r>
            <w:r w:rsidRPr="002B0AF2">
              <w:rPr>
                <w:sz w:val="26"/>
                <w:szCs w:val="26"/>
                <w:lang w:val="en-US"/>
              </w:rPr>
              <w:t xml:space="preserve"> </w:t>
            </w:r>
            <w:r w:rsidR="002B0AF2">
              <w:rPr>
                <w:sz w:val="26"/>
                <w:szCs w:val="26"/>
                <w:lang w:val="en-US"/>
              </w:rPr>
              <w:t xml:space="preserve">No. </w:t>
            </w:r>
            <w:r w:rsidRPr="002B0AF2">
              <w:rPr>
                <w:sz w:val="26"/>
                <w:szCs w:val="26"/>
                <w:lang w:val="en-US"/>
              </w:rPr>
              <w:t>23/256-</w:t>
            </w:r>
            <w:r w:rsidRPr="005D2945">
              <w:rPr>
                <w:sz w:val="26"/>
                <w:szCs w:val="26"/>
              </w:rPr>
              <w:t>н</w:t>
            </w:r>
            <w:r w:rsidRPr="002B0AF2">
              <w:rPr>
                <w:sz w:val="26"/>
                <w:szCs w:val="26"/>
                <w:lang w:val="en-US"/>
              </w:rPr>
              <w:t>/23-20</w:t>
            </w:r>
            <w:r w:rsidR="003F3556" w:rsidRPr="002B0AF2">
              <w:rPr>
                <w:sz w:val="26"/>
                <w:szCs w:val="26"/>
                <w:lang w:val="en-US"/>
              </w:rPr>
              <w:t>20</w:t>
            </w:r>
            <w:r w:rsidRPr="002B0AF2">
              <w:rPr>
                <w:sz w:val="26"/>
                <w:szCs w:val="26"/>
                <w:lang w:val="en-US"/>
              </w:rPr>
              <w:t>-</w:t>
            </w:r>
            <w:r w:rsidR="003F3556" w:rsidRPr="002B0AF2">
              <w:rPr>
                <w:sz w:val="26"/>
                <w:szCs w:val="26"/>
                <w:lang w:val="en-US"/>
              </w:rPr>
              <w:t>4</w:t>
            </w:r>
            <w:r w:rsidRPr="002B0AF2">
              <w:rPr>
                <w:sz w:val="26"/>
                <w:szCs w:val="26"/>
                <w:lang w:val="en-US"/>
              </w:rPr>
              <w:t>-</w:t>
            </w:r>
            <w:r w:rsidR="003F3556" w:rsidRPr="002B0AF2">
              <w:rPr>
                <w:sz w:val="26"/>
                <w:szCs w:val="26"/>
                <w:lang w:val="en-US"/>
              </w:rPr>
              <w:t>130</w:t>
            </w:r>
            <w:r w:rsidRPr="002B0AF2">
              <w:rPr>
                <w:sz w:val="26"/>
                <w:szCs w:val="26"/>
                <w:lang w:val="en-US"/>
              </w:rPr>
              <w:t xml:space="preserve"> </w:t>
            </w:r>
            <w:r w:rsidR="002B0AF2">
              <w:rPr>
                <w:sz w:val="26"/>
                <w:szCs w:val="26"/>
                <w:lang w:val="en-US"/>
              </w:rPr>
              <w:t>of</w:t>
            </w:r>
            <w:r w:rsidR="002B0AF2" w:rsidRPr="002B0AF2">
              <w:rPr>
                <w:sz w:val="26"/>
                <w:szCs w:val="26"/>
                <w:lang w:val="en-US"/>
              </w:rPr>
              <w:t xml:space="preserve"> </w:t>
            </w:r>
            <w:r w:rsidR="002B0AF2">
              <w:rPr>
                <w:sz w:val="26"/>
                <w:szCs w:val="26"/>
                <w:lang w:val="en-US"/>
              </w:rPr>
              <w:t xml:space="preserve">January </w:t>
            </w:r>
            <w:r w:rsidRPr="002B0AF2">
              <w:rPr>
                <w:sz w:val="26"/>
                <w:szCs w:val="26"/>
                <w:lang w:val="en-US"/>
              </w:rPr>
              <w:t>23</w:t>
            </w:r>
            <w:r w:rsidR="002B0AF2" w:rsidRPr="002B0AF2">
              <w:rPr>
                <w:sz w:val="26"/>
                <w:szCs w:val="26"/>
                <w:lang w:val="en-US"/>
              </w:rPr>
              <w:t xml:space="preserve">, </w:t>
            </w:r>
            <w:r w:rsidRPr="002B0AF2">
              <w:rPr>
                <w:sz w:val="26"/>
                <w:szCs w:val="26"/>
                <w:lang w:val="en-US"/>
              </w:rPr>
              <w:t>20</w:t>
            </w:r>
            <w:r w:rsidR="003F3556" w:rsidRPr="002B0AF2">
              <w:rPr>
                <w:sz w:val="26"/>
                <w:szCs w:val="26"/>
                <w:lang w:val="en-US"/>
              </w:rPr>
              <w:t>20</w:t>
            </w:r>
            <w:r w:rsidR="002B0AF2">
              <w:rPr>
                <w:sz w:val="26"/>
                <w:szCs w:val="26"/>
                <w:lang w:val="en-US"/>
              </w:rPr>
              <w:t xml:space="preserve">)     </w:t>
            </w:r>
            <w:r w:rsidR="002B0AF2" w:rsidRPr="002B0AF2">
              <w:rPr>
                <w:sz w:val="26"/>
                <w:szCs w:val="26"/>
                <w:lang w:val="en-US"/>
              </w:rPr>
              <w:t xml:space="preserve"> (</w:t>
            </w:r>
            <w:r w:rsidR="002B0AF2">
              <w:rPr>
                <w:sz w:val="26"/>
                <w:szCs w:val="26"/>
                <w:lang w:val="en-US"/>
              </w:rPr>
              <w:t>signature</w:t>
            </w:r>
            <w:r w:rsidRPr="002B0AF2">
              <w:rPr>
                <w:sz w:val="26"/>
                <w:szCs w:val="26"/>
                <w:lang w:val="en-US"/>
              </w:rPr>
              <w:t xml:space="preserve">) </w:t>
            </w:r>
          </w:p>
          <w:p w:rsidR="00F70266" w:rsidRPr="002B0AF2" w:rsidRDefault="00F70266" w:rsidP="007C6D3E">
            <w:pPr>
              <w:rPr>
                <w:sz w:val="26"/>
                <w:szCs w:val="26"/>
                <w:lang w:val="en-US"/>
              </w:rPr>
            </w:pPr>
          </w:p>
          <w:p w:rsidR="00741003" w:rsidRPr="002B0AF2" w:rsidRDefault="00F70266" w:rsidP="002B0AF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B0AF2">
              <w:rPr>
                <w:rFonts w:ascii="Times New Roman" w:hAnsi="Times New Roman" w:cs="Times New Roman"/>
                <w:sz w:val="26"/>
                <w:szCs w:val="26"/>
              </w:rPr>
              <w:t xml:space="preserve">3.2. </w:t>
            </w:r>
            <w:r w:rsidR="002B0A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2B0AF2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r w:rsidR="0005018B" w:rsidRPr="002B0A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9154E" w:rsidRPr="002B0AF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B0AF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F52C2" w:rsidRPr="002B0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0A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February</w:t>
            </w:r>
            <w:r w:rsidRPr="002B0AF2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5D2945" w:rsidRPr="002B0AF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2B0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0A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2B0AF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2B0A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stamp here</w:t>
            </w:r>
          </w:p>
        </w:tc>
      </w:tr>
    </w:tbl>
    <w:p w:rsidR="0045226D" w:rsidRPr="002B0AF2" w:rsidRDefault="0045226D" w:rsidP="006537DD">
      <w:pPr>
        <w:jc w:val="center"/>
        <w:rPr>
          <w:sz w:val="26"/>
          <w:szCs w:val="26"/>
        </w:rPr>
      </w:pPr>
    </w:p>
    <w:p w:rsidR="003C1A02" w:rsidRPr="002B0AF2" w:rsidRDefault="003C1A02" w:rsidP="006537DD">
      <w:pPr>
        <w:jc w:val="center"/>
        <w:rPr>
          <w:sz w:val="26"/>
          <w:szCs w:val="26"/>
        </w:rPr>
      </w:pPr>
    </w:p>
    <w:p w:rsidR="002B0AF2" w:rsidRPr="002B0AF2" w:rsidRDefault="002B0AF2" w:rsidP="006537DD">
      <w:pPr>
        <w:jc w:val="center"/>
        <w:rPr>
          <w:sz w:val="26"/>
          <w:szCs w:val="26"/>
        </w:rPr>
      </w:pPr>
    </w:p>
    <w:p w:rsidR="002B0AF2" w:rsidRPr="002B0AF2" w:rsidRDefault="002B0AF2" w:rsidP="006537DD">
      <w:pPr>
        <w:jc w:val="center"/>
        <w:rPr>
          <w:sz w:val="26"/>
          <w:szCs w:val="26"/>
        </w:rPr>
      </w:pPr>
    </w:p>
    <w:p w:rsidR="002B0AF2" w:rsidRPr="002B0AF2" w:rsidRDefault="002B0AF2" w:rsidP="006537DD">
      <w:pPr>
        <w:jc w:val="center"/>
        <w:rPr>
          <w:sz w:val="26"/>
          <w:szCs w:val="26"/>
        </w:rPr>
      </w:pPr>
    </w:p>
    <w:p w:rsidR="003C1A02" w:rsidRDefault="003C1A02" w:rsidP="006537DD">
      <w:pPr>
        <w:jc w:val="center"/>
        <w:rPr>
          <w:sz w:val="26"/>
          <w:szCs w:val="26"/>
          <w:lang w:val="en-US"/>
        </w:rPr>
      </w:pPr>
    </w:p>
    <w:p w:rsidR="00740389" w:rsidRDefault="00740389" w:rsidP="006537DD">
      <w:pPr>
        <w:jc w:val="center"/>
        <w:rPr>
          <w:sz w:val="26"/>
          <w:szCs w:val="26"/>
          <w:lang w:val="en-US"/>
        </w:rPr>
      </w:pPr>
    </w:p>
    <w:p w:rsidR="00740389" w:rsidRDefault="00740389" w:rsidP="006537DD">
      <w:pPr>
        <w:jc w:val="center"/>
        <w:rPr>
          <w:sz w:val="26"/>
          <w:szCs w:val="26"/>
          <w:lang w:val="en-US"/>
        </w:rPr>
      </w:pPr>
    </w:p>
    <w:p w:rsidR="00740389" w:rsidRDefault="00740389" w:rsidP="006537DD">
      <w:pPr>
        <w:jc w:val="center"/>
        <w:rPr>
          <w:sz w:val="26"/>
          <w:szCs w:val="26"/>
          <w:lang w:val="en-US"/>
        </w:rPr>
      </w:pPr>
    </w:p>
    <w:p w:rsidR="005D7D7C" w:rsidRPr="00740389" w:rsidRDefault="005D7D7C" w:rsidP="006537DD">
      <w:pPr>
        <w:jc w:val="center"/>
        <w:rPr>
          <w:sz w:val="26"/>
          <w:szCs w:val="26"/>
          <w:lang w:val="en-US"/>
        </w:rPr>
      </w:pPr>
    </w:p>
    <w:p w:rsidR="003C1A02" w:rsidRPr="006537DD" w:rsidRDefault="003C1A02" w:rsidP="003C1A0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Сообщения о существенном факте</w:t>
      </w:r>
    </w:p>
    <w:p w:rsidR="003C1A02" w:rsidRPr="006537DD" w:rsidRDefault="003C1A02" w:rsidP="003C1A0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«О решениях, принятых советом директоров эмитента»</w:t>
      </w:r>
    </w:p>
    <w:p w:rsidR="003C1A02" w:rsidRPr="006537DD" w:rsidRDefault="003C1A02" w:rsidP="003C1A0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(раскрытие инсайдерской информации)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6237"/>
      </w:tblGrid>
      <w:tr w:rsidR="003C1A02" w:rsidRPr="006537DD" w:rsidTr="00117F04">
        <w:tc>
          <w:tcPr>
            <w:tcW w:w="10490" w:type="dxa"/>
            <w:gridSpan w:val="2"/>
          </w:tcPr>
          <w:p w:rsidR="003C1A02" w:rsidRPr="006537DD" w:rsidRDefault="003C1A02" w:rsidP="003C1A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</w:tr>
      <w:tr w:rsidR="003C1A02" w:rsidRPr="006537DD" w:rsidTr="00117F04">
        <w:trPr>
          <w:trHeight w:val="599"/>
        </w:trPr>
        <w:tc>
          <w:tcPr>
            <w:tcW w:w="4253" w:type="dxa"/>
          </w:tcPr>
          <w:p w:rsidR="003C1A02" w:rsidRPr="006537DD" w:rsidRDefault="003C1A02" w:rsidP="00117F0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1.1  Полное фирменное наименование эмитента</w:t>
            </w:r>
          </w:p>
        </w:tc>
        <w:tc>
          <w:tcPr>
            <w:tcW w:w="6237" w:type="dxa"/>
          </w:tcPr>
          <w:p w:rsidR="003C1A02" w:rsidRPr="006537DD" w:rsidRDefault="003C1A02" w:rsidP="00117F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Публичное акционерное общество энергетики и электрификации Кубани</w:t>
            </w:r>
          </w:p>
        </w:tc>
      </w:tr>
      <w:tr w:rsidR="003C1A02" w:rsidRPr="006537DD" w:rsidTr="00117F04">
        <w:tc>
          <w:tcPr>
            <w:tcW w:w="4253" w:type="dxa"/>
          </w:tcPr>
          <w:p w:rsidR="003C1A02" w:rsidRPr="006537DD" w:rsidRDefault="003C1A02" w:rsidP="00117F0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237" w:type="dxa"/>
          </w:tcPr>
          <w:p w:rsidR="003C1A02" w:rsidRPr="006537DD" w:rsidRDefault="003C1A02" w:rsidP="00117F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ПАО «Кубаньэнерго»</w:t>
            </w:r>
          </w:p>
        </w:tc>
      </w:tr>
      <w:tr w:rsidR="003C1A02" w:rsidRPr="006537DD" w:rsidTr="00117F04">
        <w:trPr>
          <w:trHeight w:val="412"/>
        </w:trPr>
        <w:tc>
          <w:tcPr>
            <w:tcW w:w="4253" w:type="dxa"/>
          </w:tcPr>
          <w:p w:rsidR="003C1A02" w:rsidRPr="006537DD" w:rsidRDefault="003C1A02" w:rsidP="00117F0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237" w:type="dxa"/>
          </w:tcPr>
          <w:p w:rsidR="003C1A02" w:rsidRPr="006537DD" w:rsidRDefault="003C1A02" w:rsidP="00117F04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Российская Федерация, г. Краснодар</w:t>
            </w:r>
          </w:p>
        </w:tc>
      </w:tr>
      <w:tr w:rsidR="003C1A02" w:rsidRPr="006537DD" w:rsidTr="00117F04">
        <w:tc>
          <w:tcPr>
            <w:tcW w:w="4253" w:type="dxa"/>
          </w:tcPr>
          <w:p w:rsidR="003C1A02" w:rsidRPr="006537DD" w:rsidRDefault="003C1A02" w:rsidP="00117F0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1.4. ОГРН эмитента</w:t>
            </w:r>
          </w:p>
        </w:tc>
        <w:tc>
          <w:tcPr>
            <w:tcW w:w="6237" w:type="dxa"/>
          </w:tcPr>
          <w:p w:rsidR="003C1A02" w:rsidRPr="006537DD" w:rsidRDefault="003C1A02" w:rsidP="00117F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3C1A02" w:rsidRPr="006537DD" w:rsidTr="00117F04">
        <w:tc>
          <w:tcPr>
            <w:tcW w:w="4253" w:type="dxa"/>
          </w:tcPr>
          <w:p w:rsidR="003C1A02" w:rsidRPr="006537DD" w:rsidRDefault="003C1A02" w:rsidP="00117F0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1.5. ИНН эмитента</w:t>
            </w:r>
          </w:p>
        </w:tc>
        <w:tc>
          <w:tcPr>
            <w:tcW w:w="6237" w:type="dxa"/>
          </w:tcPr>
          <w:p w:rsidR="003C1A02" w:rsidRPr="006537DD" w:rsidRDefault="003C1A02" w:rsidP="00117F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3C1A02" w:rsidRPr="006537DD" w:rsidTr="00117F04">
        <w:tc>
          <w:tcPr>
            <w:tcW w:w="4253" w:type="dxa"/>
          </w:tcPr>
          <w:p w:rsidR="003C1A02" w:rsidRPr="006537DD" w:rsidRDefault="003C1A02" w:rsidP="00117F0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237" w:type="dxa"/>
          </w:tcPr>
          <w:p w:rsidR="003C1A02" w:rsidRPr="006537DD" w:rsidRDefault="003C1A02" w:rsidP="00117F0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3C1A02" w:rsidRPr="006537DD" w:rsidTr="00117F04">
        <w:tc>
          <w:tcPr>
            <w:tcW w:w="4253" w:type="dxa"/>
          </w:tcPr>
          <w:p w:rsidR="003C1A02" w:rsidRPr="006537DD" w:rsidRDefault="003C1A02" w:rsidP="00117F0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237" w:type="dxa"/>
          </w:tcPr>
          <w:p w:rsidR="003C1A02" w:rsidRPr="006537DD" w:rsidRDefault="003C1A02" w:rsidP="00117F04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6537DD">
              <w:rPr>
                <w:sz w:val="26"/>
                <w:szCs w:val="26"/>
              </w:rPr>
              <w:t>://</w:t>
            </w:r>
            <w:hyperlink r:id="rId11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537DD">
              <w:rPr>
                <w:sz w:val="26"/>
                <w:szCs w:val="26"/>
              </w:rPr>
              <w:t xml:space="preserve">  </w:t>
            </w:r>
          </w:p>
          <w:p w:rsidR="003C1A02" w:rsidRPr="006537DD" w:rsidRDefault="00136390" w:rsidP="00117F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3C1A02" w:rsidRPr="006537DD">
                <w:rPr>
                  <w:rStyle w:val="af4"/>
                  <w:rFonts w:ascii="Times New Roman" w:hAnsi="Times New Roman" w:cs="Times New Roman"/>
                  <w:sz w:val="26"/>
                  <w:szCs w:val="26"/>
                </w:rPr>
                <w:t>http://www.e-disclosure.ru/portal/company.aspx?id=2827</w:t>
              </w:r>
            </w:hyperlink>
            <w:r w:rsidR="003C1A02"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C1A02" w:rsidRPr="006537DD" w:rsidRDefault="003C1A02" w:rsidP="00117F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A02" w:rsidRPr="006537DD" w:rsidTr="00117F04">
        <w:tc>
          <w:tcPr>
            <w:tcW w:w="4253" w:type="dxa"/>
          </w:tcPr>
          <w:p w:rsidR="003C1A02" w:rsidRPr="006537DD" w:rsidRDefault="003C1A02" w:rsidP="00117F0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237" w:type="dxa"/>
          </w:tcPr>
          <w:p w:rsidR="003C1A02" w:rsidRPr="006537DD" w:rsidRDefault="003C1A02" w:rsidP="00117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21.02</w:t>
            </w:r>
            <w:r w:rsidRPr="006537DD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</w:p>
        </w:tc>
      </w:tr>
      <w:tr w:rsidR="003C1A02" w:rsidRPr="006537DD" w:rsidTr="00117F04">
        <w:tc>
          <w:tcPr>
            <w:tcW w:w="10490" w:type="dxa"/>
            <w:gridSpan w:val="2"/>
          </w:tcPr>
          <w:p w:rsidR="003C1A02" w:rsidRPr="006537DD" w:rsidRDefault="003C1A02" w:rsidP="00117F04">
            <w:pPr>
              <w:jc w:val="center"/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2. Содержание сообщения</w:t>
            </w:r>
          </w:p>
        </w:tc>
      </w:tr>
      <w:tr w:rsidR="003C1A02" w:rsidRPr="006537DD" w:rsidTr="00117F04">
        <w:trPr>
          <w:trHeight w:val="3542"/>
        </w:trPr>
        <w:tc>
          <w:tcPr>
            <w:tcW w:w="10490" w:type="dxa"/>
            <w:gridSpan w:val="2"/>
          </w:tcPr>
          <w:p w:rsidR="003C1A02" w:rsidRPr="006537DD" w:rsidRDefault="003C1A02" w:rsidP="00117F0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2.1 Кворум заседания совета директоров эмитента и результаты голосования по вопросам о принятии решений: </w:t>
            </w:r>
          </w:p>
          <w:p w:rsidR="003C1A02" w:rsidRPr="006537DD" w:rsidRDefault="003C1A02" w:rsidP="00117F0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Количественный состав членов Совета директоров: 11 человек.</w:t>
            </w:r>
          </w:p>
          <w:p w:rsidR="003C1A02" w:rsidRPr="006537DD" w:rsidRDefault="003C1A02" w:rsidP="00117F0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 заседании приняли участие: 11 человек. </w:t>
            </w:r>
          </w:p>
          <w:p w:rsidR="003C1A02" w:rsidRPr="006537DD" w:rsidRDefault="003C1A02" w:rsidP="00117F0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Кворум для проведения заседания Совета директоров ПАО «Кубаньэнерго» имеется.</w:t>
            </w:r>
          </w:p>
          <w:p w:rsidR="003C1A02" w:rsidRPr="006537DD" w:rsidRDefault="003C1A02" w:rsidP="00117F0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Результаты голосования: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3C1A02" w:rsidRPr="006537DD" w:rsidTr="00117F04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№ вопроса</w:t>
                  </w:r>
                </w:p>
              </w:tc>
              <w:tc>
                <w:tcPr>
                  <w:tcW w:w="6298" w:type="dxa"/>
                  <w:gridSpan w:val="3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Количество голосов</w:t>
                  </w:r>
                </w:p>
              </w:tc>
            </w:tr>
            <w:tr w:rsidR="003C1A02" w:rsidRPr="006537DD" w:rsidTr="00117F04">
              <w:trPr>
                <w:jc w:val="center"/>
              </w:trPr>
              <w:tc>
                <w:tcPr>
                  <w:tcW w:w="1339" w:type="dxa"/>
                  <w:vMerge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«ЗА»</w:t>
                  </w:r>
                </w:p>
              </w:tc>
              <w:tc>
                <w:tcPr>
                  <w:tcW w:w="1985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«ПРОТИВ»</w:t>
                  </w:r>
                </w:p>
              </w:tc>
              <w:tc>
                <w:tcPr>
                  <w:tcW w:w="2680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«ВОЗДЕРЖАЛСЯ»</w:t>
                  </w:r>
                </w:p>
              </w:tc>
            </w:tr>
            <w:tr w:rsidR="003C1A02" w:rsidRPr="006537DD" w:rsidTr="00117F04">
              <w:trPr>
                <w:jc w:val="center"/>
              </w:trPr>
              <w:tc>
                <w:tcPr>
                  <w:tcW w:w="1339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3C1A02" w:rsidRPr="006537DD" w:rsidTr="00117F04">
              <w:trPr>
                <w:jc w:val="center"/>
              </w:trPr>
              <w:tc>
                <w:tcPr>
                  <w:tcW w:w="1339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3C1A02" w:rsidRPr="006537DD" w:rsidTr="00117F04">
              <w:trPr>
                <w:jc w:val="center"/>
              </w:trPr>
              <w:tc>
                <w:tcPr>
                  <w:tcW w:w="1339" w:type="dxa"/>
                </w:tcPr>
                <w:p w:rsidR="003C1A02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3C1A02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3C1A02" w:rsidRPr="006537DD" w:rsidTr="00117F04">
              <w:trPr>
                <w:jc w:val="center"/>
              </w:trPr>
              <w:tc>
                <w:tcPr>
                  <w:tcW w:w="1339" w:type="dxa"/>
                </w:tcPr>
                <w:p w:rsidR="003C1A02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633" w:type="dxa"/>
                </w:tcPr>
                <w:p w:rsidR="003C1A02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3C1A02" w:rsidRPr="006537DD" w:rsidTr="00117F04">
              <w:trPr>
                <w:jc w:val="center"/>
              </w:trPr>
              <w:tc>
                <w:tcPr>
                  <w:tcW w:w="1339" w:type="dxa"/>
                </w:tcPr>
                <w:p w:rsidR="003C1A02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633" w:type="dxa"/>
                </w:tcPr>
                <w:p w:rsidR="003C1A02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3C1A02" w:rsidRPr="006537DD" w:rsidRDefault="003C1A02" w:rsidP="00117F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3C1A02" w:rsidRPr="006537DD" w:rsidRDefault="003C1A02" w:rsidP="00117F0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A02" w:rsidRPr="006537DD" w:rsidTr="00117F04">
        <w:tc>
          <w:tcPr>
            <w:tcW w:w="10490" w:type="dxa"/>
            <w:gridSpan w:val="2"/>
          </w:tcPr>
          <w:p w:rsidR="003C1A02" w:rsidRPr="006537DD" w:rsidRDefault="003C1A02" w:rsidP="00117F0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3C1A02" w:rsidRPr="006537DD" w:rsidRDefault="003C1A02" w:rsidP="00117F04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№1 «</w:t>
            </w:r>
            <w:r w:rsidRPr="0019154E">
              <w:rPr>
                <w:b/>
                <w:bCs/>
                <w:i/>
                <w:color w:val="000000" w:themeColor="text1"/>
                <w:sz w:val="26"/>
                <w:szCs w:val="26"/>
              </w:rPr>
              <w:t>Об утверждении сводного на принципах РСБУ и консолидированного на принципах МСФО бизнес-планов Группы ПАО «Кубаньэнерго» на 2020 год и прогнозных показателей на  2021-2024 годы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3C1A02" w:rsidRPr="006537DD" w:rsidTr="00117F04">
        <w:trPr>
          <w:trHeight w:val="409"/>
        </w:trPr>
        <w:tc>
          <w:tcPr>
            <w:tcW w:w="10490" w:type="dxa"/>
            <w:gridSpan w:val="2"/>
          </w:tcPr>
          <w:p w:rsidR="003C1A02" w:rsidRPr="006537DD" w:rsidRDefault="003C1A02" w:rsidP="00117F0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2.2.1. Содержание решений, принятых советом директоров эмитента:</w:t>
            </w:r>
          </w:p>
          <w:p w:rsidR="003C1A02" w:rsidRPr="006C2C4C" w:rsidRDefault="003C1A02" w:rsidP="00117F04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19154E">
              <w:rPr>
                <w:bCs/>
                <w:i/>
                <w:iCs/>
                <w:sz w:val="23"/>
                <w:szCs w:val="23"/>
              </w:rPr>
              <w:t>Утвердить сводный на принципах РСБУ и консолидированный на принципах МСФО бизнес-планы группы ПАО «Кубаньэнерго» на 2020 год и принять к сведению прогнозные показатели на 2021-2024 годы в соответствии с  приложениями №№1,2 к настоящему решению Совета директоров Общества</w:t>
            </w:r>
            <w:r>
              <w:rPr>
                <w:bCs/>
                <w:i/>
                <w:iCs/>
                <w:sz w:val="23"/>
                <w:szCs w:val="23"/>
              </w:rPr>
              <w:t>.</w:t>
            </w:r>
          </w:p>
        </w:tc>
      </w:tr>
      <w:tr w:rsidR="003C1A02" w:rsidRPr="006537DD" w:rsidTr="00117F04">
        <w:tc>
          <w:tcPr>
            <w:tcW w:w="10490" w:type="dxa"/>
            <w:gridSpan w:val="2"/>
          </w:tcPr>
          <w:p w:rsidR="003C1A02" w:rsidRPr="006537DD" w:rsidRDefault="003C1A02" w:rsidP="00117F0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3C1A02" w:rsidRPr="006537DD" w:rsidRDefault="003C1A02" w:rsidP="00117F04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2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19154E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О предварительном одобрении </w:t>
            </w:r>
            <w:proofErr w:type="spellStart"/>
            <w:proofErr w:type="gramStart"/>
            <w:r w:rsidRPr="0019154E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C</w:t>
            </w:r>
            <w:proofErr w:type="gramEnd"/>
            <w:r w:rsidRPr="0019154E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оглашения</w:t>
            </w:r>
            <w:proofErr w:type="spellEnd"/>
            <w:r w:rsidRPr="0019154E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о порядке ведения коллективных переговоров в ПАО «Кубаньэнерго».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3C1A02" w:rsidRPr="006537DD" w:rsidTr="00117F04">
        <w:trPr>
          <w:trHeight w:val="848"/>
        </w:trPr>
        <w:tc>
          <w:tcPr>
            <w:tcW w:w="10490" w:type="dxa"/>
            <w:gridSpan w:val="2"/>
          </w:tcPr>
          <w:p w:rsidR="003C1A02" w:rsidRPr="006537DD" w:rsidRDefault="003C1A02" w:rsidP="00117F0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3C1A02" w:rsidRPr="006C3F70" w:rsidRDefault="003C1A02" w:rsidP="00117F04">
            <w:pPr>
              <w:tabs>
                <w:tab w:val="left" w:pos="1134"/>
              </w:tabs>
              <w:autoSpaceDE/>
              <w:autoSpaceDN/>
              <w:ind w:left="34" w:firstLine="675"/>
              <w:contextualSpacing/>
              <w:jc w:val="both"/>
              <w:rPr>
                <w:i/>
              </w:rPr>
            </w:pPr>
            <w:r w:rsidRPr="0019154E">
              <w:rPr>
                <w:bCs/>
                <w:i/>
                <w:iCs/>
                <w:sz w:val="23"/>
                <w:szCs w:val="23"/>
              </w:rPr>
              <w:t xml:space="preserve">Предварительно одобрить Соглашение о порядке ведения коллективных переговоров в </w:t>
            </w:r>
            <w:r>
              <w:rPr>
                <w:bCs/>
                <w:i/>
                <w:iCs/>
                <w:sz w:val="23"/>
                <w:szCs w:val="23"/>
              </w:rPr>
              <w:br/>
            </w:r>
            <w:r w:rsidRPr="0019154E">
              <w:rPr>
                <w:bCs/>
                <w:i/>
                <w:iCs/>
                <w:sz w:val="23"/>
                <w:szCs w:val="23"/>
              </w:rPr>
              <w:t>ПАО «Кубаньэнерго» согласно приложению № 3 к настоящему решению Совета директоров</w:t>
            </w:r>
            <w:r>
              <w:rPr>
                <w:bCs/>
                <w:i/>
                <w:iCs/>
                <w:sz w:val="23"/>
                <w:szCs w:val="23"/>
              </w:rPr>
              <w:t>.</w:t>
            </w:r>
          </w:p>
        </w:tc>
      </w:tr>
      <w:tr w:rsidR="003C1A02" w:rsidRPr="006537DD" w:rsidTr="00117F04">
        <w:tc>
          <w:tcPr>
            <w:tcW w:w="10490" w:type="dxa"/>
            <w:gridSpan w:val="2"/>
          </w:tcPr>
          <w:p w:rsidR="003C1A02" w:rsidRPr="006537DD" w:rsidRDefault="003C1A02" w:rsidP="00117F0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Раскрытие инсайдерской информации</w:t>
            </w:r>
          </w:p>
          <w:p w:rsidR="003C1A02" w:rsidRPr="006537DD" w:rsidRDefault="003C1A02" w:rsidP="00117F04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3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19154E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О рассмотрении отчета генерального директора Общества о ходе исполнения реестра непрофильных активов за 4 квартал 2019 года и 2019 год, утверждении актуализированного реестра непрофильных активов </w:t>
            </w:r>
            <w:r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19154E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ПАО «Кубаньэнерго»</w:t>
            </w:r>
            <w:r w:rsidRPr="0005018B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».</w:t>
            </w:r>
          </w:p>
        </w:tc>
      </w:tr>
      <w:tr w:rsidR="003C1A02" w:rsidRPr="006537DD" w:rsidTr="00117F04">
        <w:trPr>
          <w:trHeight w:val="848"/>
        </w:trPr>
        <w:tc>
          <w:tcPr>
            <w:tcW w:w="10490" w:type="dxa"/>
            <w:gridSpan w:val="2"/>
          </w:tcPr>
          <w:p w:rsidR="003C1A02" w:rsidRPr="006537DD" w:rsidRDefault="003C1A02" w:rsidP="00117F0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3C1A02" w:rsidRPr="0019154E" w:rsidRDefault="003C1A02" w:rsidP="00117F04">
            <w:pPr>
              <w:tabs>
                <w:tab w:val="left" w:pos="743"/>
              </w:tabs>
              <w:autoSpaceDE/>
              <w:autoSpaceDN/>
              <w:ind w:left="34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>
              <w:rPr>
                <w:bCs/>
                <w:i/>
                <w:iCs/>
                <w:sz w:val="23"/>
                <w:szCs w:val="23"/>
              </w:rPr>
              <w:t xml:space="preserve">          </w:t>
            </w:r>
            <w:r w:rsidRPr="0019154E">
              <w:rPr>
                <w:bCs/>
                <w:i/>
                <w:iCs/>
                <w:sz w:val="23"/>
                <w:szCs w:val="23"/>
              </w:rPr>
              <w:t>1. Принять к сведению отчет  о ходе исполнения реестра непрофильных активов за 4 квартал 2019 года и 2019 год согласно приложению №4 к настоящему решению Совета директоров.</w:t>
            </w:r>
          </w:p>
          <w:p w:rsidR="003C1A02" w:rsidRPr="006C3F70" w:rsidRDefault="003C1A02" w:rsidP="00117F04">
            <w:pPr>
              <w:tabs>
                <w:tab w:val="left" w:pos="601"/>
                <w:tab w:val="left" w:pos="1134"/>
              </w:tabs>
              <w:autoSpaceDE/>
              <w:autoSpaceDN/>
              <w:ind w:left="34" w:firstLine="567"/>
              <w:contextualSpacing/>
              <w:jc w:val="both"/>
              <w:rPr>
                <w:i/>
              </w:rPr>
            </w:pPr>
            <w:r w:rsidRPr="0019154E">
              <w:rPr>
                <w:bCs/>
                <w:i/>
                <w:iCs/>
                <w:sz w:val="23"/>
                <w:szCs w:val="23"/>
              </w:rPr>
              <w:t>2. Утвердить актуализированный Реестр непрофильных активов в редакции согласно приложению №5 к настоящему решению Совета директоров</w:t>
            </w:r>
            <w:r>
              <w:rPr>
                <w:bCs/>
                <w:i/>
                <w:iCs/>
                <w:sz w:val="23"/>
                <w:szCs w:val="23"/>
              </w:rPr>
              <w:t>.</w:t>
            </w:r>
          </w:p>
        </w:tc>
      </w:tr>
      <w:tr w:rsidR="003C1A02" w:rsidRPr="006537DD" w:rsidTr="00117F04">
        <w:tc>
          <w:tcPr>
            <w:tcW w:w="10490" w:type="dxa"/>
            <w:gridSpan w:val="2"/>
          </w:tcPr>
          <w:p w:rsidR="003C1A02" w:rsidRPr="006537DD" w:rsidRDefault="003C1A02" w:rsidP="00117F0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3C1A02" w:rsidRPr="006537DD" w:rsidRDefault="003C1A02" w:rsidP="00117F04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4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19154E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Об утверждении</w:t>
            </w:r>
            <w:r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страховщиков ПАО «Кубаньэнерго</w:t>
            </w:r>
            <w:r w:rsidRPr="0005018B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».</w:t>
            </w:r>
          </w:p>
        </w:tc>
      </w:tr>
      <w:tr w:rsidR="003C1A02" w:rsidRPr="006537DD" w:rsidTr="00117F04">
        <w:trPr>
          <w:trHeight w:val="848"/>
        </w:trPr>
        <w:tc>
          <w:tcPr>
            <w:tcW w:w="10490" w:type="dxa"/>
            <w:gridSpan w:val="2"/>
          </w:tcPr>
          <w:p w:rsidR="003C1A02" w:rsidRPr="006537DD" w:rsidRDefault="003C1A02" w:rsidP="00117F0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3C1A02" w:rsidRPr="0019154E" w:rsidRDefault="003C1A02" w:rsidP="00117F04">
            <w:pPr>
              <w:widowControl w:val="0"/>
              <w:jc w:val="both"/>
              <w:rPr>
                <w:rFonts w:eastAsia="Andale Sans UI"/>
                <w:i/>
                <w:kern w:val="3"/>
                <w:lang w:bidi="fa-IR"/>
              </w:rPr>
            </w:pPr>
            <w:r w:rsidRPr="0019154E">
              <w:rPr>
                <w:bCs/>
                <w:i/>
                <w:iCs/>
                <w:sz w:val="23"/>
                <w:szCs w:val="23"/>
              </w:rPr>
              <w:t xml:space="preserve">          </w:t>
            </w:r>
            <w:r w:rsidRPr="0019154E">
              <w:rPr>
                <w:rFonts w:eastAsia="Andale Sans UI"/>
                <w:i/>
                <w:kern w:val="3"/>
                <w:lang w:bidi="fa-IR"/>
              </w:rPr>
              <w:t>Утвердить в качестве Страховщиков Общества следующие кандидатуры:</w:t>
            </w:r>
          </w:p>
          <w:tbl>
            <w:tblPr>
              <w:tblW w:w="949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6"/>
              <w:gridCol w:w="3543"/>
              <w:gridCol w:w="2266"/>
            </w:tblGrid>
            <w:tr w:rsidR="003C1A02" w:rsidRPr="0019154E" w:rsidTr="00117F04">
              <w:trPr>
                <w:trHeight w:val="695"/>
                <w:jc w:val="center"/>
              </w:trPr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</w:rPr>
                    <w:t>Вид страхования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ind w:firstLine="3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</w:rPr>
                    <w:t>Страховая компания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</w:rPr>
                    <w:t>Период страхования</w:t>
                  </w:r>
                </w:p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</w:rPr>
                    <w:t>(период выдачи полисов)</w:t>
                  </w:r>
                </w:p>
              </w:tc>
            </w:tr>
            <w:tr w:rsidR="003C1A02" w:rsidRPr="0019154E" w:rsidTr="00117F04">
              <w:trPr>
                <w:jc w:val="center"/>
              </w:trPr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both"/>
                    <w:rPr>
                      <w:i/>
                    </w:rPr>
                  </w:pPr>
                  <w:r w:rsidRPr="0019154E">
                    <w:rPr>
                      <w:i/>
                    </w:rPr>
                    <w:t>Добровольное страхование автотранспортных средств (КАСКО)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both"/>
                    <w:rPr>
                      <w:i/>
                    </w:rPr>
                  </w:pPr>
                  <w:r w:rsidRPr="0019154E">
                    <w:rPr>
                      <w:i/>
                    </w:rPr>
                    <w:t>АО «АльфаСтрахование»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  <w:color w:val="000000"/>
                    </w:rPr>
                  </w:pPr>
                  <w:r w:rsidRPr="0019154E">
                    <w:rPr>
                      <w:i/>
                    </w:rPr>
                    <w:t xml:space="preserve">с </w:t>
                  </w:r>
                  <w:r w:rsidRPr="0019154E">
                    <w:rPr>
                      <w:i/>
                      <w:color w:val="000000"/>
                    </w:rPr>
                    <w:t>01.01.2020</w:t>
                  </w:r>
                </w:p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  <w:color w:val="000000"/>
                    </w:rPr>
                    <w:t>по 31.12.2020</w:t>
                  </w:r>
                </w:p>
              </w:tc>
            </w:tr>
            <w:tr w:rsidR="003C1A02" w:rsidRPr="0019154E" w:rsidTr="00117F04">
              <w:trPr>
                <w:trHeight w:val="435"/>
                <w:jc w:val="center"/>
              </w:trPr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both"/>
                    <w:rPr>
                      <w:i/>
                    </w:rPr>
                  </w:pPr>
                  <w:r w:rsidRPr="0019154E">
                    <w:rPr>
                      <w:i/>
                    </w:rPr>
                    <w:t>Обязательное страхование гражданской ответственности владельцев транспортных средств</w:t>
                  </w:r>
                  <w:r>
                    <w:rPr>
                      <w:i/>
                    </w:rPr>
                    <w:t xml:space="preserve"> </w:t>
                  </w:r>
                  <w:r w:rsidRPr="0019154E">
                    <w:rPr>
                      <w:i/>
                    </w:rPr>
                    <w:t>(ОСАГО)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</w:rPr>
                    <w:t>АО «СОГАЗ»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jc w:val="center"/>
                    <w:rPr>
                      <w:i/>
                      <w:color w:val="000000"/>
                    </w:rPr>
                  </w:pPr>
                  <w:r w:rsidRPr="0019154E">
                    <w:rPr>
                      <w:i/>
                    </w:rPr>
                    <w:t xml:space="preserve">с </w:t>
                  </w:r>
                  <w:r w:rsidRPr="0019154E">
                    <w:rPr>
                      <w:i/>
                      <w:color w:val="000000"/>
                    </w:rPr>
                    <w:t>01.01.2020</w:t>
                  </w:r>
                </w:p>
                <w:p w:rsidR="003C1A02" w:rsidRPr="0019154E" w:rsidRDefault="003C1A02" w:rsidP="00117F04">
                  <w:pPr>
                    <w:autoSpaceDE/>
                    <w:autoSpaceDN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  <w:color w:val="000000"/>
                    </w:rPr>
                    <w:t>по 31.12.2020</w:t>
                  </w:r>
                </w:p>
              </w:tc>
            </w:tr>
            <w:tr w:rsidR="003C1A02" w:rsidRPr="0019154E" w:rsidTr="00117F04">
              <w:trPr>
                <w:jc w:val="center"/>
              </w:trPr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both"/>
                    <w:rPr>
                      <w:i/>
                    </w:rPr>
                  </w:pPr>
                  <w:r w:rsidRPr="0019154E">
                    <w:rPr>
                      <w:i/>
                    </w:rPr>
      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 (ОПО)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</w:rPr>
                    <w:t>АО «АльфаСтрахование»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</w:rPr>
                    <w:t>с 01.01.2020</w:t>
                  </w:r>
                </w:p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</w:rPr>
                    <w:t>по 31.12.2020</w:t>
                  </w:r>
                </w:p>
              </w:tc>
            </w:tr>
            <w:tr w:rsidR="003C1A02" w:rsidRPr="0019154E" w:rsidTr="00117F04">
              <w:trPr>
                <w:jc w:val="center"/>
              </w:trPr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both"/>
                    <w:rPr>
                      <w:i/>
                    </w:rPr>
                  </w:pPr>
                  <w:r w:rsidRPr="0019154E">
                    <w:rPr>
                      <w:i/>
                    </w:rPr>
                    <w:t>Добровольное медицинское страхование (ДМС)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</w:rPr>
                    <w:t>АО «АльфаСтрахование»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</w:rPr>
                    <w:t>с 01.01.2020</w:t>
                  </w:r>
                </w:p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</w:rPr>
                    <w:t>по 31.03.2020</w:t>
                  </w:r>
                </w:p>
              </w:tc>
            </w:tr>
            <w:tr w:rsidR="003C1A02" w:rsidRPr="0019154E" w:rsidTr="00117F04">
              <w:trPr>
                <w:jc w:val="center"/>
              </w:trPr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both"/>
                    <w:rPr>
                      <w:i/>
                    </w:rPr>
                  </w:pPr>
                  <w:r w:rsidRPr="0019154E">
                    <w:rPr>
                      <w:i/>
                    </w:rPr>
                    <w:t>Страхование от несчастных случаев и болезней (НС)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</w:rPr>
                    <w:t>АО «АльфаСтрахование»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</w:rPr>
                    <w:t>с 01.01.2020</w:t>
                  </w:r>
                </w:p>
                <w:p w:rsidR="003C1A02" w:rsidRPr="0019154E" w:rsidRDefault="003C1A02" w:rsidP="00117F04">
                  <w:pPr>
                    <w:autoSpaceDE/>
                    <w:autoSpaceDN/>
                    <w:spacing w:line="232" w:lineRule="auto"/>
                    <w:jc w:val="center"/>
                    <w:rPr>
                      <w:i/>
                    </w:rPr>
                  </w:pPr>
                  <w:r w:rsidRPr="0019154E">
                    <w:rPr>
                      <w:i/>
                    </w:rPr>
                    <w:t>по 31.03.2020</w:t>
                  </w:r>
                </w:p>
              </w:tc>
            </w:tr>
          </w:tbl>
          <w:p w:rsidR="003C1A02" w:rsidRPr="006C3F70" w:rsidRDefault="003C1A02" w:rsidP="00117F04">
            <w:pPr>
              <w:tabs>
                <w:tab w:val="left" w:pos="601"/>
                <w:tab w:val="left" w:pos="1134"/>
              </w:tabs>
              <w:autoSpaceDE/>
              <w:autoSpaceDN/>
              <w:ind w:left="34" w:firstLine="567"/>
              <w:contextualSpacing/>
              <w:jc w:val="both"/>
              <w:rPr>
                <w:i/>
              </w:rPr>
            </w:pPr>
          </w:p>
        </w:tc>
      </w:tr>
      <w:tr w:rsidR="003C1A02" w:rsidRPr="006537DD" w:rsidTr="00117F04">
        <w:tc>
          <w:tcPr>
            <w:tcW w:w="10490" w:type="dxa"/>
            <w:gridSpan w:val="2"/>
          </w:tcPr>
          <w:p w:rsidR="003C1A02" w:rsidRPr="006537DD" w:rsidRDefault="003C1A02" w:rsidP="00117F0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3C1A02" w:rsidRPr="006537DD" w:rsidRDefault="003C1A02" w:rsidP="00117F04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5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19154E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О рассмотрении отчета генерального директора об обеспечении страховой защиты в Обществе за 2 и 3 кварталы 2019 года</w:t>
            </w:r>
            <w:r w:rsidRPr="0005018B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».</w:t>
            </w:r>
          </w:p>
        </w:tc>
      </w:tr>
      <w:tr w:rsidR="003C1A02" w:rsidRPr="006537DD" w:rsidTr="00117F04">
        <w:trPr>
          <w:trHeight w:val="848"/>
        </w:trPr>
        <w:tc>
          <w:tcPr>
            <w:tcW w:w="10490" w:type="dxa"/>
            <w:gridSpan w:val="2"/>
          </w:tcPr>
          <w:p w:rsidR="003C1A02" w:rsidRPr="006537DD" w:rsidRDefault="003C1A02" w:rsidP="00117F0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3C1A02" w:rsidRPr="0019154E" w:rsidRDefault="003C1A02" w:rsidP="00117F04">
            <w:pPr>
              <w:tabs>
                <w:tab w:val="left" w:pos="743"/>
              </w:tabs>
              <w:autoSpaceDE/>
              <w:autoSpaceDN/>
              <w:ind w:left="34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>
              <w:rPr>
                <w:bCs/>
                <w:i/>
                <w:iCs/>
                <w:sz w:val="23"/>
                <w:szCs w:val="23"/>
              </w:rPr>
              <w:t xml:space="preserve">          </w:t>
            </w:r>
            <w:r w:rsidRPr="0019154E">
              <w:rPr>
                <w:bCs/>
                <w:i/>
                <w:iCs/>
                <w:sz w:val="23"/>
                <w:szCs w:val="23"/>
              </w:rPr>
              <w:t>1. Принять к сведению отчет  о ходе исполнения реестра непрофильных активов за 4 квартал 2019 года и 2019 год согласно приложению №4 к настоящему решению Совета директоров.</w:t>
            </w:r>
          </w:p>
          <w:p w:rsidR="003C1A02" w:rsidRPr="006C3F70" w:rsidRDefault="003C1A02" w:rsidP="00117F04">
            <w:pPr>
              <w:tabs>
                <w:tab w:val="left" w:pos="601"/>
                <w:tab w:val="left" w:pos="1134"/>
              </w:tabs>
              <w:autoSpaceDE/>
              <w:autoSpaceDN/>
              <w:ind w:left="34" w:firstLine="567"/>
              <w:contextualSpacing/>
              <w:jc w:val="both"/>
              <w:rPr>
                <w:i/>
              </w:rPr>
            </w:pPr>
            <w:r w:rsidRPr="0019154E">
              <w:rPr>
                <w:bCs/>
                <w:i/>
                <w:iCs/>
                <w:sz w:val="23"/>
                <w:szCs w:val="23"/>
              </w:rPr>
              <w:t>2. Утвердить актуализированный Реестр непрофильных активов в редакции согласно приложению №5 к настоящему решению Совета директоров</w:t>
            </w:r>
            <w:r>
              <w:rPr>
                <w:bCs/>
                <w:i/>
                <w:iCs/>
                <w:sz w:val="23"/>
                <w:szCs w:val="23"/>
              </w:rPr>
              <w:t>.</w:t>
            </w:r>
          </w:p>
        </w:tc>
      </w:tr>
      <w:tr w:rsidR="003C1A02" w:rsidRPr="006537DD" w:rsidTr="00117F04">
        <w:tc>
          <w:tcPr>
            <w:tcW w:w="10490" w:type="dxa"/>
            <w:gridSpan w:val="2"/>
            <w:shd w:val="clear" w:color="auto" w:fill="auto"/>
          </w:tcPr>
          <w:p w:rsidR="003C1A02" w:rsidRPr="006537DD" w:rsidRDefault="003C1A02" w:rsidP="00117F0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2.3. Дата проведения заседания совета директоров эмитента, на котором приняты соответствующие решения: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21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февраля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года.</w:t>
            </w:r>
          </w:p>
          <w:p w:rsidR="003C1A02" w:rsidRPr="006537DD" w:rsidRDefault="003C1A02" w:rsidP="00117F0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2.4. Дата составления и номер протокола заседания совета директоров эмитента, на котором приняты соответствующие решения</w:t>
            </w:r>
            <w:r w:rsidRPr="006C3F7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21 февраля 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года, протокол №37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/2019.</w:t>
            </w:r>
          </w:p>
        </w:tc>
      </w:tr>
      <w:tr w:rsidR="003C1A02" w:rsidRPr="006537DD" w:rsidTr="00117F04">
        <w:tc>
          <w:tcPr>
            <w:tcW w:w="10490" w:type="dxa"/>
            <w:gridSpan w:val="2"/>
          </w:tcPr>
          <w:p w:rsidR="003C1A02" w:rsidRPr="006537DD" w:rsidRDefault="003C1A02" w:rsidP="00117F04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3. Подпись</w:t>
            </w:r>
          </w:p>
        </w:tc>
      </w:tr>
      <w:tr w:rsidR="003C1A02" w:rsidRPr="006537DD" w:rsidTr="00117F04">
        <w:trPr>
          <w:trHeight w:val="1357"/>
        </w:trPr>
        <w:tc>
          <w:tcPr>
            <w:tcW w:w="10490" w:type="dxa"/>
            <w:gridSpan w:val="2"/>
          </w:tcPr>
          <w:p w:rsidR="003C1A02" w:rsidRDefault="003C1A02" w:rsidP="00117F04">
            <w:pPr>
              <w:rPr>
                <w:sz w:val="26"/>
                <w:szCs w:val="26"/>
              </w:rPr>
            </w:pPr>
            <w:r w:rsidRPr="005D2945">
              <w:rPr>
                <w:sz w:val="26"/>
                <w:szCs w:val="26"/>
              </w:rPr>
              <w:t xml:space="preserve">3.1. </w:t>
            </w:r>
            <w:r>
              <w:rPr>
                <w:sz w:val="26"/>
                <w:szCs w:val="26"/>
              </w:rPr>
              <w:t>Начальник департамента</w:t>
            </w:r>
          </w:p>
          <w:p w:rsidR="003C1A02" w:rsidRDefault="003C1A02" w:rsidP="00117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корпоративного управления </w:t>
            </w:r>
          </w:p>
          <w:p w:rsidR="003C1A02" w:rsidRPr="005D2945" w:rsidRDefault="003C1A02" w:rsidP="00117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взаимодействия с акционерами                               ______________________ Е.Е. Диденко</w:t>
            </w:r>
          </w:p>
          <w:p w:rsidR="003C1A02" w:rsidRPr="005D2945" w:rsidRDefault="003C1A02" w:rsidP="00117F04">
            <w:pPr>
              <w:rPr>
                <w:sz w:val="26"/>
                <w:szCs w:val="26"/>
              </w:rPr>
            </w:pPr>
            <w:r w:rsidRPr="005D2945">
              <w:rPr>
                <w:sz w:val="26"/>
                <w:szCs w:val="26"/>
              </w:rPr>
              <w:t>(по доверенности №23/256-н/23-20</w:t>
            </w:r>
            <w:r>
              <w:rPr>
                <w:sz w:val="26"/>
                <w:szCs w:val="26"/>
              </w:rPr>
              <w:t>20</w:t>
            </w:r>
            <w:r w:rsidRPr="005D29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</w:t>
            </w:r>
            <w:r w:rsidRPr="005D29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130</w:t>
            </w:r>
            <w:r w:rsidRPr="005D2945">
              <w:rPr>
                <w:sz w:val="26"/>
                <w:szCs w:val="26"/>
              </w:rPr>
              <w:t xml:space="preserve"> от 23.</w:t>
            </w:r>
            <w:r>
              <w:rPr>
                <w:sz w:val="26"/>
                <w:szCs w:val="26"/>
              </w:rPr>
              <w:t>01</w:t>
            </w:r>
            <w:r w:rsidRPr="005D2945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  <w:r w:rsidRPr="005D2945">
              <w:rPr>
                <w:sz w:val="26"/>
                <w:szCs w:val="26"/>
              </w:rPr>
              <w:t xml:space="preserve">)               (подпись) </w:t>
            </w:r>
          </w:p>
          <w:p w:rsidR="003C1A02" w:rsidRPr="006537DD" w:rsidRDefault="003C1A02" w:rsidP="00117F04">
            <w:pPr>
              <w:rPr>
                <w:sz w:val="26"/>
                <w:szCs w:val="26"/>
              </w:rPr>
            </w:pPr>
          </w:p>
          <w:p w:rsidR="003C1A02" w:rsidRPr="006537DD" w:rsidRDefault="003C1A02" w:rsidP="00117F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3.2. Дата 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г.                         М.П.</w:t>
            </w:r>
          </w:p>
        </w:tc>
      </w:tr>
    </w:tbl>
    <w:p w:rsidR="003C1A02" w:rsidRPr="003C1A02" w:rsidRDefault="003C1A02" w:rsidP="003C1A02">
      <w:pPr>
        <w:jc w:val="center"/>
        <w:rPr>
          <w:sz w:val="26"/>
          <w:szCs w:val="26"/>
        </w:rPr>
      </w:pPr>
    </w:p>
    <w:p w:rsidR="003C1A02" w:rsidRPr="003C1A02" w:rsidRDefault="003C1A02" w:rsidP="003C1A02">
      <w:pPr>
        <w:jc w:val="center"/>
        <w:rPr>
          <w:sz w:val="26"/>
          <w:szCs w:val="26"/>
        </w:rPr>
      </w:pPr>
    </w:p>
    <w:p w:rsidR="003C1A02" w:rsidRPr="003C1A02" w:rsidRDefault="003C1A02" w:rsidP="003C1A02">
      <w:pPr>
        <w:jc w:val="center"/>
        <w:rPr>
          <w:sz w:val="26"/>
          <w:szCs w:val="26"/>
        </w:rPr>
      </w:pPr>
    </w:p>
    <w:p w:rsidR="003C1A02" w:rsidRPr="003C1A02" w:rsidRDefault="003C1A02" w:rsidP="003C1A02">
      <w:pPr>
        <w:jc w:val="center"/>
        <w:rPr>
          <w:sz w:val="26"/>
          <w:szCs w:val="26"/>
        </w:rPr>
      </w:pPr>
    </w:p>
    <w:p w:rsidR="003C1A02" w:rsidRPr="003C1A02" w:rsidRDefault="003C1A02" w:rsidP="006537DD">
      <w:pPr>
        <w:jc w:val="center"/>
        <w:rPr>
          <w:sz w:val="26"/>
          <w:szCs w:val="26"/>
        </w:rPr>
      </w:pPr>
    </w:p>
    <w:sectPr w:rsidR="003C1A02" w:rsidRPr="003C1A02" w:rsidSect="004509C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390" w:rsidRDefault="00136390" w:rsidP="00C5099C">
      <w:r>
        <w:separator/>
      </w:r>
    </w:p>
  </w:endnote>
  <w:endnote w:type="continuationSeparator" w:id="0">
    <w:p w:rsidR="00136390" w:rsidRDefault="00136390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390" w:rsidRDefault="00136390" w:rsidP="00C5099C">
      <w:r>
        <w:separator/>
      </w:r>
    </w:p>
  </w:footnote>
  <w:footnote w:type="continuationSeparator" w:id="0">
    <w:p w:rsidR="00136390" w:rsidRDefault="00136390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60D89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A86947"/>
    <w:multiLevelType w:val="hybridMultilevel"/>
    <w:tmpl w:val="3F02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D26040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637CE"/>
    <w:multiLevelType w:val="hybridMultilevel"/>
    <w:tmpl w:val="86FC1468"/>
    <w:lvl w:ilvl="0" w:tplc="041608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10">
    <w:nsid w:val="45510599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630C17"/>
    <w:multiLevelType w:val="hybridMultilevel"/>
    <w:tmpl w:val="F06E47A6"/>
    <w:lvl w:ilvl="0" w:tplc="8DA68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375133"/>
    <w:multiLevelType w:val="hybridMultilevel"/>
    <w:tmpl w:val="B238A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0"/>
  </w:num>
  <w:num w:numId="13">
    <w:abstractNumId w:val="3"/>
  </w:num>
  <w:num w:numId="14">
    <w:abstractNumId w:val="1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A84"/>
    <w:rsid w:val="00010B6B"/>
    <w:rsid w:val="00015287"/>
    <w:rsid w:val="00020C5E"/>
    <w:rsid w:val="000238F7"/>
    <w:rsid w:val="00036FF9"/>
    <w:rsid w:val="00046601"/>
    <w:rsid w:val="0005018B"/>
    <w:rsid w:val="000528AB"/>
    <w:rsid w:val="000655FF"/>
    <w:rsid w:val="000812B4"/>
    <w:rsid w:val="00084028"/>
    <w:rsid w:val="00086832"/>
    <w:rsid w:val="00087563"/>
    <w:rsid w:val="00087DA5"/>
    <w:rsid w:val="00091224"/>
    <w:rsid w:val="000A1166"/>
    <w:rsid w:val="000B19A7"/>
    <w:rsid w:val="000B22DB"/>
    <w:rsid w:val="000B2E62"/>
    <w:rsid w:val="000C18E8"/>
    <w:rsid w:val="000D1922"/>
    <w:rsid w:val="000D5047"/>
    <w:rsid w:val="000D587F"/>
    <w:rsid w:val="000D76C8"/>
    <w:rsid w:val="000D795F"/>
    <w:rsid w:val="000E12B9"/>
    <w:rsid w:val="000E1FED"/>
    <w:rsid w:val="000E2653"/>
    <w:rsid w:val="000E5E7E"/>
    <w:rsid w:val="000F01FC"/>
    <w:rsid w:val="000F4DFE"/>
    <w:rsid w:val="00101C52"/>
    <w:rsid w:val="0010430A"/>
    <w:rsid w:val="0011275D"/>
    <w:rsid w:val="00131D48"/>
    <w:rsid w:val="00136390"/>
    <w:rsid w:val="00142353"/>
    <w:rsid w:val="00143D25"/>
    <w:rsid w:val="00147EFD"/>
    <w:rsid w:val="00155944"/>
    <w:rsid w:val="00155E90"/>
    <w:rsid w:val="00157223"/>
    <w:rsid w:val="00166C79"/>
    <w:rsid w:val="00166D26"/>
    <w:rsid w:val="001762AE"/>
    <w:rsid w:val="0018648B"/>
    <w:rsid w:val="00190E0A"/>
    <w:rsid w:val="0019154E"/>
    <w:rsid w:val="00196318"/>
    <w:rsid w:val="001A4FE8"/>
    <w:rsid w:val="001A5D8D"/>
    <w:rsid w:val="001A5F61"/>
    <w:rsid w:val="001B23FD"/>
    <w:rsid w:val="001B4D6A"/>
    <w:rsid w:val="001B5463"/>
    <w:rsid w:val="001B7196"/>
    <w:rsid w:val="001C064D"/>
    <w:rsid w:val="001C5F13"/>
    <w:rsid w:val="001D2761"/>
    <w:rsid w:val="001E000F"/>
    <w:rsid w:val="001E055B"/>
    <w:rsid w:val="001E2B64"/>
    <w:rsid w:val="001E3A5C"/>
    <w:rsid w:val="0020007C"/>
    <w:rsid w:val="002009E2"/>
    <w:rsid w:val="0020448C"/>
    <w:rsid w:val="00212EFE"/>
    <w:rsid w:val="0022502C"/>
    <w:rsid w:val="002252C2"/>
    <w:rsid w:val="00225D0E"/>
    <w:rsid w:val="00232B2C"/>
    <w:rsid w:val="00235C54"/>
    <w:rsid w:val="00236918"/>
    <w:rsid w:val="00265D89"/>
    <w:rsid w:val="00267CD9"/>
    <w:rsid w:val="00271F6A"/>
    <w:rsid w:val="00273E6A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A7A26"/>
    <w:rsid w:val="002B0AF2"/>
    <w:rsid w:val="002B4991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303DF"/>
    <w:rsid w:val="003318D5"/>
    <w:rsid w:val="00340BA2"/>
    <w:rsid w:val="00356FF6"/>
    <w:rsid w:val="00361703"/>
    <w:rsid w:val="0036257B"/>
    <w:rsid w:val="00364A53"/>
    <w:rsid w:val="003714D8"/>
    <w:rsid w:val="00372AE9"/>
    <w:rsid w:val="003914CE"/>
    <w:rsid w:val="00393C50"/>
    <w:rsid w:val="00396CF0"/>
    <w:rsid w:val="003A0253"/>
    <w:rsid w:val="003A3479"/>
    <w:rsid w:val="003A5EF6"/>
    <w:rsid w:val="003B18CF"/>
    <w:rsid w:val="003B4FA2"/>
    <w:rsid w:val="003B6A95"/>
    <w:rsid w:val="003C1A02"/>
    <w:rsid w:val="003D4607"/>
    <w:rsid w:val="003D7747"/>
    <w:rsid w:val="003E26F6"/>
    <w:rsid w:val="003E78D6"/>
    <w:rsid w:val="003F0A20"/>
    <w:rsid w:val="003F3556"/>
    <w:rsid w:val="00401D3B"/>
    <w:rsid w:val="00402154"/>
    <w:rsid w:val="00411DDA"/>
    <w:rsid w:val="00413B92"/>
    <w:rsid w:val="00415885"/>
    <w:rsid w:val="00420F04"/>
    <w:rsid w:val="00425F2B"/>
    <w:rsid w:val="004260C4"/>
    <w:rsid w:val="004261B7"/>
    <w:rsid w:val="00434649"/>
    <w:rsid w:val="004501D1"/>
    <w:rsid w:val="004509CA"/>
    <w:rsid w:val="0045226D"/>
    <w:rsid w:val="004543EE"/>
    <w:rsid w:val="004548BF"/>
    <w:rsid w:val="004610C7"/>
    <w:rsid w:val="00471361"/>
    <w:rsid w:val="00471BBD"/>
    <w:rsid w:val="004730E2"/>
    <w:rsid w:val="0047315B"/>
    <w:rsid w:val="00474626"/>
    <w:rsid w:val="00475583"/>
    <w:rsid w:val="004918A3"/>
    <w:rsid w:val="004966EB"/>
    <w:rsid w:val="004972B6"/>
    <w:rsid w:val="00497E21"/>
    <w:rsid w:val="004A4158"/>
    <w:rsid w:val="004A68E9"/>
    <w:rsid w:val="004C0FB3"/>
    <w:rsid w:val="004C1325"/>
    <w:rsid w:val="004C3463"/>
    <w:rsid w:val="004C6F9E"/>
    <w:rsid w:val="004C7A35"/>
    <w:rsid w:val="004D0A6C"/>
    <w:rsid w:val="004D1160"/>
    <w:rsid w:val="004D1454"/>
    <w:rsid w:val="004D2E11"/>
    <w:rsid w:val="004D532C"/>
    <w:rsid w:val="004D7229"/>
    <w:rsid w:val="004F1587"/>
    <w:rsid w:val="004F1988"/>
    <w:rsid w:val="004F2011"/>
    <w:rsid w:val="004F5D30"/>
    <w:rsid w:val="004F6A0D"/>
    <w:rsid w:val="00515A50"/>
    <w:rsid w:val="00516D7E"/>
    <w:rsid w:val="00524BEA"/>
    <w:rsid w:val="005342A7"/>
    <w:rsid w:val="0055168B"/>
    <w:rsid w:val="00552531"/>
    <w:rsid w:val="005546E2"/>
    <w:rsid w:val="005572D4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2945"/>
    <w:rsid w:val="005D36EB"/>
    <w:rsid w:val="005D7D7C"/>
    <w:rsid w:val="005D7E71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3E5F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71326"/>
    <w:rsid w:val="00672C8F"/>
    <w:rsid w:val="00672CAF"/>
    <w:rsid w:val="00680DC8"/>
    <w:rsid w:val="0068193A"/>
    <w:rsid w:val="00683906"/>
    <w:rsid w:val="00684705"/>
    <w:rsid w:val="0068696B"/>
    <w:rsid w:val="00687F83"/>
    <w:rsid w:val="006A5A41"/>
    <w:rsid w:val="006A7084"/>
    <w:rsid w:val="006C05EA"/>
    <w:rsid w:val="006C2C4C"/>
    <w:rsid w:val="006C3F57"/>
    <w:rsid w:val="006C3F70"/>
    <w:rsid w:val="006D7BF2"/>
    <w:rsid w:val="006F08DD"/>
    <w:rsid w:val="006F09D1"/>
    <w:rsid w:val="006F73C2"/>
    <w:rsid w:val="00703358"/>
    <w:rsid w:val="0070694D"/>
    <w:rsid w:val="0070781F"/>
    <w:rsid w:val="00714127"/>
    <w:rsid w:val="0073249D"/>
    <w:rsid w:val="00735A80"/>
    <w:rsid w:val="00740389"/>
    <w:rsid w:val="007406B8"/>
    <w:rsid w:val="00741003"/>
    <w:rsid w:val="00741B96"/>
    <w:rsid w:val="00753122"/>
    <w:rsid w:val="0075374F"/>
    <w:rsid w:val="007549AD"/>
    <w:rsid w:val="00756A16"/>
    <w:rsid w:val="00761EF7"/>
    <w:rsid w:val="00762E99"/>
    <w:rsid w:val="00763856"/>
    <w:rsid w:val="007638FB"/>
    <w:rsid w:val="00766FD4"/>
    <w:rsid w:val="00770F84"/>
    <w:rsid w:val="00773A71"/>
    <w:rsid w:val="00791BEF"/>
    <w:rsid w:val="007A31E1"/>
    <w:rsid w:val="007A467C"/>
    <w:rsid w:val="007B689E"/>
    <w:rsid w:val="007C3B23"/>
    <w:rsid w:val="007C6D3E"/>
    <w:rsid w:val="007D3EC1"/>
    <w:rsid w:val="007D425B"/>
    <w:rsid w:val="007D6383"/>
    <w:rsid w:val="007D7D51"/>
    <w:rsid w:val="007E1E11"/>
    <w:rsid w:val="007E3016"/>
    <w:rsid w:val="007E6DEB"/>
    <w:rsid w:val="007E71AC"/>
    <w:rsid w:val="007F1236"/>
    <w:rsid w:val="007F4C66"/>
    <w:rsid w:val="00802AB4"/>
    <w:rsid w:val="008066B5"/>
    <w:rsid w:val="00815FFD"/>
    <w:rsid w:val="00822BB9"/>
    <w:rsid w:val="008276FB"/>
    <w:rsid w:val="00831DAA"/>
    <w:rsid w:val="008361AE"/>
    <w:rsid w:val="00844B2D"/>
    <w:rsid w:val="00845652"/>
    <w:rsid w:val="008530DD"/>
    <w:rsid w:val="008569D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453F"/>
    <w:rsid w:val="008F5010"/>
    <w:rsid w:val="008F71E7"/>
    <w:rsid w:val="00902817"/>
    <w:rsid w:val="00904BB7"/>
    <w:rsid w:val="009056AD"/>
    <w:rsid w:val="00910208"/>
    <w:rsid w:val="009116BA"/>
    <w:rsid w:val="009234A4"/>
    <w:rsid w:val="009335F3"/>
    <w:rsid w:val="00933DFA"/>
    <w:rsid w:val="00934ABE"/>
    <w:rsid w:val="00935D95"/>
    <w:rsid w:val="00936E61"/>
    <w:rsid w:val="0093799B"/>
    <w:rsid w:val="0094398D"/>
    <w:rsid w:val="00947961"/>
    <w:rsid w:val="009531E3"/>
    <w:rsid w:val="00960705"/>
    <w:rsid w:val="00961820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4159"/>
    <w:rsid w:val="009C676B"/>
    <w:rsid w:val="009C72DB"/>
    <w:rsid w:val="009D0BEB"/>
    <w:rsid w:val="009D0FC3"/>
    <w:rsid w:val="009E0703"/>
    <w:rsid w:val="009E59C7"/>
    <w:rsid w:val="009F027C"/>
    <w:rsid w:val="009F3D9B"/>
    <w:rsid w:val="009F6366"/>
    <w:rsid w:val="00A03CE2"/>
    <w:rsid w:val="00A04BCB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8319A"/>
    <w:rsid w:val="00A8346D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F5565"/>
    <w:rsid w:val="00AF55F4"/>
    <w:rsid w:val="00B01511"/>
    <w:rsid w:val="00B04F9A"/>
    <w:rsid w:val="00B060B5"/>
    <w:rsid w:val="00B17FBB"/>
    <w:rsid w:val="00B22153"/>
    <w:rsid w:val="00B22188"/>
    <w:rsid w:val="00B24936"/>
    <w:rsid w:val="00B34342"/>
    <w:rsid w:val="00B352BF"/>
    <w:rsid w:val="00B366D0"/>
    <w:rsid w:val="00B36D59"/>
    <w:rsid w:val="00B442D4"/>
    <w:rsid w:val="00B54B82"/>
    <w:rsid w:val="00B56683"/>
    <w:rsid w:val="00B57CDE"/>
    <w:rsid w:val="00B70C4F"/>
    <w:rsid w:val="00B7221F"/>
    <w:rsid w:val="00B74897"/>
    <w:rsid w:val="00B905ED"/>
    <w:rsid w:val="00B93DEA"/>
    <w:rsid w:val="00B96624"/>
    <w:rsid w:val="00BA33B5"/>
    <w:rsid w:val="00BA4527"/>
    <w:rsid w:val="00BA5195"/>
    <w:rsid w:val="00BC4A00"/>
    <w:rsid w:val="00BE3636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25E5B"/>
    <w:rsid w:val="00C3437B"/>
    <w:rsid w:val="00C34EC8"/>
    <w:rsid w:val="00C35A56"/>
    <w:rsid w:val="00C4203F"/>
    <w:rsid w:val="00C433CB"/>
    <w:rsid w:val="00C47824"/>
    <w:rsid w:val="00C507C0"/>
    <w:rsid w:val="00C5099C"/>
    <w:rsid w:val="00C50A27"/>
    <w:rsid w:val="00C543B7"/>
    <w:rsid w:val="00C546A3"/>
    <w:rsid w:val="00C555D2"/>
    <w:rsid w:val="00C57545"/>
    <w:rsid w:val="00C63F13"/>
    <w:rsid w:val="00C64997"/>
    <w:rsid w:val="00C64ADF"/>
    <w:rsid w:val="00C67A2E"/>
    <w:rsid w:val="00C71FA5"/>
    <w:rsid w:val="00C75537"/>
    <w:rsid w:val="00C76CE5"/>
    <w:rsid w:val="00C94757"/>
    <w:rsid w:val="00C96DF4"/>
    <w:rsid w:val="00C9747A"/>
    <w:rsid w:val="00CB1E20"/>
    <w:rsid w:val="00CD46FD"/>
    <w:rsid w:val="00CF078F"/>
    <w:rsid w:val="00CF74AC"/>
    <w:rsid w:val="00D00077"/>
    <w:rsid w:val="00D0201A"/>
    <w:rsid w:val="00D0458D"/>
    <w:rsid w:val="00D05386"/>
    <w:rsid w:val="00D065A2"/>
    <w:rsid w:val="00D11A32"/>
    <w:rsid w:val="00D2430D"/>
    <w:rsid w:val="00D26470"/>
    <w:rsid w:val="00D266D3"/>
    <w:rsid w:val="00D26F31"/>
    <w:rsid w:val="00D276C2"/>
    <w:rsid w:val="00D3655F"/>
    <w:rsid w:val="00D42C06"/>
    <w:rsid w:val="00D45800"/>
    <w:rsid w:val="00D46546"/>
    <w:rsid w:val="00D549B8"/>
    <w:rsid w:val="00D626D8"/>
    <w:rsid w:val="00D661CA"/>
    <w:rsid w:val="00D67557"/>
    <w:rsid w:val="00D7746C"/>
    <w:rsid w:val="00D83715"/>
    <w:rsid w:val="00D8755C"/>
    <w:rsid w:val="00D90760"/>
    <w:rsid w:val="00D912C7"/>
    <w:rsid w:val="00D91C77"/>
    <w:rsid w:val="00D967F8"/>
    <w:rsid w:val="00D97357"/>
    <w:rsid w:val="00D97D5B"/>
    <w:rsid w:val="00DB7480"/>
    <w:rsid w:val="00DD7F1C"/>
    <w:rsid w:val="00DE5AED"/>
    <w:rsid w:val="00DF0432"/>
    <w:rsid w:val="00DF1458"/>
    <w:rsid w:val="00E07E71"/>
    <w:rsid w:val="00E10298"/>
    <w:rsid w:val="00E10D4D"/>
    <w:rsid w:val="00E111C0"/>
    <w:rsid w:val="00E14EDF"/>
    <w:rsid w:val="00E2472C"/>
    <w:rsid w:val="00E31A33"/>
    <w:rsid w:val="00E339CF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4116"/>
    <w:rsid w:val="00E91F09"/>
    <w:rsid w:val="00E9541C"/>
    <w:rsid w:val="00E96B69"/>
    <w:rsid w:val="00E9711F"/>
    <w:rsid w:val="00EA729C"/>
    <w:rsid w:val="00EB4856"/>
    <w:rsid w:val="00EC0C43"/>
    <w:rsid w:val="00EC1DE4"/>
    <w:rsid w:val="00EC1F14"/>
    <w:rsid w:val="00EC4854"/>
    <w:rsid w:val="00EC72EB"/>
    <w:rsid w:val="00ED0877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2A14"/>
    <w:rsid w:val="00F146B6"/>
    <w:rsid w:val="00F20639"/>
    <w:rsid w:val="00F32809"/>
    <w:rsid w:val="00F32F83"/>
    <w:rsid w:val="00F353FC"/>
    <w:rsid w:val="00F4206E"/>
    <w:rsid w:val="00F46136"/>
    <w:rsid w:val="00F61FF8"/>
    <w:rsid w:val="00F6573B"/>
    <w:rsid w:val="00F66A85"/>
    <w:rsid w:val="00F70266"/>
    <w:rsid w:val="00F8391D"/>
    <w:rsid w:val="00F906CE"/>
    <w:rsid w:val="00F97604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-disclosure.ru/portal/company.aspx?id=2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banenerg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banenerg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5F469-A64E-4741-B885-8BD1EBEF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23</cp:revision>
  <cp:lastPrinted>2020-03-16T11:16:00Z</cp:lastPrinted>
  <dcterms:created xsi:type="dcterms:W3CDTF">2019-12-30T13:29:00Z</dcterms:created>
  <dcterms:modified xsi:type="dcterms:W3CDTF">2020-03-16T11:24:00Z</dcterms:modified>
</cp:coreProperties>
</file>