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7D" w:rsidRPr="00D23969" w:rsidRDefault="007E4D8E" w:rsidP="007E4D8E">
      <w:pPr>
        <w:pStyle w:val="a3"/>
        <w:spacing w:before="0"/>
        <w:ind w:left="0" w:right="0"/>
      </w:pPr>
      <w:r w:rsidRPr="00D23969">
        <w:rPr>
          <w:lang w:bidi="en-US"/>
        </w:rPr>
        <w:t>Notice of Essential Fact</w:t>
      </w:r>
    </w:p>
    <w:p w:rsidR="00103E7D" w:rsidRPr="00D23969" w:rsidRDefault="007E4D8E" w:rsidP="007E4D8E">
      <w:pPr>
        <w:pStyle w:val="a3"/>
        <w:spacing w:before="0"/>
        <w:ind w:left="0" w:right="0"/>
      </w:pPr>
      <w:r w:rsidRPr="00D23969">
        <w:rPr>
          <w:lang w:bidi="en-US"/>
        </w:rPr>
        <w:t>“</w:t>
      </w:r>
      <w:proofErr w:type="gramStart"/>
      <w:r w:rsidRPr="00D23969">
        <w:rPr>
          <w:lang w:bidi="en-US"/>
        </w:rPr>
        <w:t>on</w:t>
      </w:r>
      <w:proofErr w:type="gramEnd"/>
      <w:r w:rsidRPr="00D23969">
        <w:rPr>
          <w:lang w:bidi="en-US"/>
        </w:rPr>
        <w:t xml:space="preserve"> paid up revenue on equity securities of the issuer”</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5273"/>
        <w:gridCol w:w="5170"/>
      </w:tblGrid>
      <w:tr w:rsidR="00103E7D" w:rsidRPr="00D23969" w:rsidTr="007E4D8E">
        <w:tc>
          <w:tcPr>
            <w:tcW w:w="10443" w:type="dxa"/>
            <w:gridSpan w:val="2"/>
          </w:tcPr>
          <w:p w:rsidR="00103E7D" w:rsidRPr="00D23969" w:rsidRDefault="007E4D8E" w:rsidP="00BA3302">
            <w:pPr>
              <w:pStyle w:val="TableParagraph"/>
              <w:spacing w:before="40" w:after="40"/>
              <w:ind w:left="85"/>
              <w:jc w:val="center"/>
            </w:pPr>
            <w:r w:rsidRPr="00D23969">
              <w:rPr>
                <w:lang w:bidi="en-US"/>
              </w:rPr>
              <w:t>1. Background Information</w:t>
            </w:r>
          </w:p>
        </w:tc>
      </w:tr>
      <w:tr w:rsidR="00103E7D" w:rsidRPr="00D23969" w:rsidTr="00A00177">
        <w:tc>
          <w:tcPr>
            <w:tcW w:w="5273" w:type="dxa"/>
          </w:tcPr>
          <w:p w:rsidR="00103E7D" w:rsidRPr="00D23969" w:rsidRDefault="007E4D8E" w:rsidP="00BA3302">
            <w:pPr>
              <w:pStyle w:val="TableParagraph"/>
              <w:ind w:left="84"/>
            </w:pPr>
            <w:r w:rsidRPr="00D23969">
              <w:rPr>
                <w:lang w:bidi="en-US"/>
              </w:rPr>
              <w:t>1.1. Issuer's full business name (for a non-profit organization – registered name):</w:t>
            </w:r>
          </w:p>
        </w:tc>
        <w:tc>
          <w:tcPr>
            <w:tcW w:w="5170" w:type="dxa"/>
          </w:tcPr>
          <w:p w:rsidR="00103E7D" w:rsidRPr="00D23969" w:rsidRDefault="007E4D8E" w:rsidP="00BA3302">
            <w:pPr>
              <w:pStyle w:val="TableParagraph"/>
              <w:ind w:left="84"/>
              <w:rPr>
                <w:b/>
                <w:i/>
              </w:rPr>
            </w:pPr>
            <w:r w:rsidRPr="00D23969">
              <w:rPr>
                <w:b/>
                <w:i/>
                <w:lang w:bidi="en-US"/>
              </w:rPr>
              <w:t xml:space="preserve">Kuban Public Joint Stock Company of Power Industry and Electrification </w:t>
            </w:r>
          </w:p>
        </w:tc>
      </w:tr>
      <w:tr w:rsidR="007E4D8E" w:rsidRPr="00D23969" w:rsidTr="00A00177">
        <w:tc>
          <w:tcPr>
            <w:tcW w:w="5273" w:type="dxa"/>
          </w:tcPr>
          <w:p w:rsidR="007E4D8E" w:rsidRPr="00D23969" w:rsidRDefault="007E4D8E" w:rsidP="00BA3302">
            <w:pPr>
              <w:pStyle w:val="TableParagraph"/>
              <w:ind w:left="84"/>
              <w:jc w:val="both"/>
            </w:pPr>
            <w:r w:rsidRPr="00D23969">
              <w:rPr>
                <w:lang w:bidi="en-US"/>
              </w:rPr>
              <w:t>1.2. Issuer’s abbreviated business name:</w:t>
            </w:r>
          </w:p>
        </w:tc>
        <w:tc>
          <w:tcPr>
            <w:tcW w:w="5170" w:type="dxa"/>
          </w:tcPr>
          <w:p w:rsidR="007E4D8E" w:rsidRPr="00D23969" w:rsidRDefault="007E4D8E" w:rsidP="00BA3302">
            <w:pPr>
              <w:pStyle w:val="TableParagraph"/>
              <w:ind w:left="84"/>
              <w:rPr>
                <w:b/>
                <w:i/>
              </w:rPr>
            </w:pPr>
            <w:r w:rsidRPr="00D23969">
              <w:rPr>
                <w:b/>
                <w:i/>
                <w:lang w:bidi="en-US"/>
              </w:rPr>
              <w:t>Kubanenergo PJSC</w:t>
            </w:r>
          </w:p>
        </w:tc>
      </w:tr>
      <w:tr w:rsidR="007E4D8E" w:rsidRPr="00D23969" w:rsidTr="00A00177">
        <w:tc>
          <w:tcPr>
            <w:tcW w:w="5273" w:type="dxa"/>
          </w:tcPr>
          <w:p w:rsidR="007E4D8E" w:rsidRPr="00D23969" w:rsidRDefault="007E4D8E" w:rsidP="00BA3302">
            <w:pPr>
              <w:pStyle w:val="TableParagraph"/>
              <w:ind w:left="84"/>
            </w:pPr>
            <w:r w:rsidRPr="00D23969">
              <w:rPr>
                <w:lang w:bidi="en-US"/>
              </w:rPr>
              <w:t>1.3. Issuer’s location</w:t>
            </w:r>
          </w:p>
        </w:tc>
        <w:tc>
          <w:tcPr>
            <w:tcW w:w="5170" w:type="dxa"/>
          </w:tcPr>
          <w:p w:rsidR="007E4D8E" w:rsidRPr="00D23969" w:rsidRDefault="007E4D8E" w:rsidP="00BA3302">
            <w:pPr>
              <w:pStyle w:val="TableParagraph"/>
              <w:ind w:left="84"/>
              <w:rPr>
                <w:b/>
                <w:i/>
              </w:rPr>
            </w:pPr>
            <w:r w:rsidRPr="00D23969">
              <w:rPr>
                <w:b/>
                <w:i/>
                <w:lang w:bidi="en-US"/>
              </w:rPr>
              <w:t>Russian Federation, 350033, Krasnodar</w:t>
            </w:r>
          </w:p>
        </w:tc>
      </w:tr>
      <w:tr w:rsidR="00103E7D" w:rsidRPr="00D23969" w:rsidTr="00A00177">
        <w:tc>
          <w:tcPr>
            <w:tcW w:w="5273" w:type="dxa"/>
          </w:tcPr>
          <w:p w:rsidR="00103E7D" w:rsidRPr="00D23969" w:rsidRDefault="007E4D8E" w:rsidP="00BA3302">
            <w:pPr>
              <w:pStyle w:val="TableParagraph"/>
              <w:ind w:left="84"/>
            </w:pPr>
            <w:r w:rsidRPr="00D23969">
              <w:rPr>
                <w:lang w:bidi="en-US"/>
              </w:rPr>
              <w:t xml:space="preserve">1.4. Issuer’s </w:t>
            </w:r>
            <w:proofErr w:type="spellStart"/>
            <w:r w:rsidRPr="00D23969">
              <w:rPr>
                <w:lang w:bidi="en-US"/>
              </w:rPr>
              <w:t>OGRN</w:t>
            </w:r>
            <w:proofErr w:type="spellEnd"/>
            <w:r w:rsidRPr="00D23969">
              <w:rPr>
                <w:lang w:bidi="en-US"/>
              </w:rPr>
              <w:t xml:space="preserve"> (Primary State Registration Number)</w:t>
            </w:r>
          </w:p>
        </w:tc>
        <w:tc>
          <w:tcPr>
            <w:tcW w:w="5170" w:type="dxa"/>
          </w:tcPr>
          <w:p w:rsidR="00103E7D" w:rsidRPr="00D23969" w:rsidRDefault="007E4D8E" w:rsidP="00BA3302">
            <w:pPr>
              <w:pStyle w:val="TableParagraph"/>
              <w:ind w:left="84"/>
              <w:rPr>
                <w:b/>
                <w:i/>
              </w:rPr>
            </w:pPr>
            <w:r w:rsidRPr="00D23969">
              <w:rPr>
                <w:b/>
                <w:i/>
                <w:lang w:bidi="en-US"/>
              </w:rPr>
              <w:t>1022301427268</w:t>
            </w:r>
          </w:p>
        </w:tc>
      </w:tr>
      <w:tr w:rsidR="00103E7D" w:rsidRPr="00D23969" w:rsidTr="00A00177">
        <w:tc>
          <w:tcPr>
            <w:tcW w:w="5273" w:type="dxa"/>
          </w:tcPr>
          <w:p w:rsidR="00103E7D" w:rsidRPr="00D23969" w:rsidRDefault="007E4D8E" w:rsidP="00BA3302">
            <w:pPr>
              <w:pStyle w:val="TableParagraph"/>
              <w:ind w:left="84"/>
            </w:pPr>
            <w:r w:rsidRPr="00D23969">
              <w:rPr>
                <w:lang w:bidi="en-US"/>
              </w:rPr>
              <w:t>1.5. Issuer’s INN (Taxpayer Identification Number)</w:t>
            </w:r>
          </w:p>
        </w:tc>
        <w:tc>
          <w:tcPr>
            <w:tcW w:w="5170" w:type="dxa"/>
          </w:tcPr>
          <w:p w:rsidR="00103E7D" w:rsidRPr="00D23969" w:rsidRDefault="007E4D8E" w:rsidP="00BA3302">
            <w:pPr>
              <w:pStyle w:val="TableParagraph"/>
              <w:ind w:left="84"/>
              <w:rPr>
                <w:b/>
                <w:i/>
              </w:rPr>
            </w:pPr>
            <w:r w:rsidRPr="00D23969">
              <w:rPr>
                <w:b/>
                <w:i/>
                <w:lang w:bidi="en-US"/>
              </w:rPr>
              <w:t>2309001660</w:t>
            </w:r>
          </w:p>
        </w:tc>
      </w:tr>
      <w:tr w:rsidR="007E4D8E" w:rsidRPr="00D23969" w:rsidTr="00A00177">
        <w:tc>
          <w:tcPr>
            <w:tcW w:w="5273" w:type="dxa"/>
          </w:tcPr>
          <w:p w:rsidR="007E4D8E" w:rsidRPr="00D23969" w:rsidRDefault="007E4D8E" w:rsidP="00BA3302">
            <w:pPr>
              <w:pStyle w:val="TableParagraph"/>
              <w:ind w:left="84"/>
              <w:jc w:val="both"/>
            </w:pPr>
            <w:r w:rsidRPr="00D23969">
              <w:rPr>
                <w:lang w:bidi="en-US"/>
              </w:rPr>
              <w:t>1.6. Issuer's unique code assigned by the registering body</w:t>
            </w:r>
          </w:p>
        </w:tc>
        <w:tc>
          <w:tcPr>
            <w:tcW w:w="5170" w:type="dxa"/>
          </w:tcPr>
          <w:p w:rsidR="007E4D8E" w:rsidRPr="00D23969" w:rsidRDefault="007E4D8E" w:rsidP="00BA3302">
            <w:pPr>
              <w:pStyle w:val="TableParagraph"/>
              <w:ind w:left="84"/>
              <w:rPr>
                <w:b/>
                <w:i/>
              </w:rPr>
            </w:pPr>
            <w:r w:rsidRPr="00D23969">
              <w:rPr>
                <w:b/>
                <w:i/>
                <w:lang w:bidi="en-US"/>
              </w:rPr>
              <w:t>00063-А</w:t>
            </w:r>
          </w:p>
        </w:tc>
      </w:tr>
      <w:tr w:rsidR="00103E7D" w:rsidRPr="00D23969" w:rsidTr="00A00177">
        <w:tc>
          <w:tcPr>
            <w:tcW w:w="5273" w:type="dxa"/>
          </w:tcPr>
          <w:p w:rsidR="00103E7D" w:rsidRPr="00D23969" w:rsidRDefault="007E4D8E" w:rsidP="00BA3302">
            <w:pPr>
              <w:pStyle w:val="TableParagraph"/>
              <w:ind w:left="84"/>
              <w:jc w:val="both"/>
            </w:pPr>
            <w:r w:rsidRPr="00D23969">
              <w:rPr>
                <w:lang w:bidi="en-US"/>
              </w:rPr>
              <w:t>1.7. An address of a web page in the information and telecommunication network Internet provided by one of the information providers on the securities market, and the address of the Internet page the email whereof includes a domain name the rights to which belong to the issuer</w:t>
            </w:r>
          </w:p>
        </w:tc>
        <w:tc>
          <w:tcPr>
            <w:tcW w:w="5170" w:type="dxa"/>
          </w:tcPr>
          <w:p w:rsidR="00103E7D" w:rsidRPr="00D23969" w:rsidRDefault="00AE486D" w:rsidP="00BA3302">
            <w:pPr>
              <w:pStyle w:val="TableParagraph"/>
              <w:ind w:left="84"/>
              <w:rPr>
                <w:b/>
                <w:i/>
              </w:rPr>
            </w:pPr>
            <w:hyperlink r:id="rId5">
              <w:r w:rsidR="007E4D8E" w:rsidRPr="00D23969">
                <w:rPr>
                  <w:b/>
                  <w:i/>
                  <w:lang w:bidi="en-US"/>
                </w:rPr>
                <w:t>http://</w:t>
              </w:r>
              <w:proofErr w:type="spellStart"/>
              <w:r w:rsidR="007E4D8E" w:rsidRPr="00D23969">
                <w:rPr>
                  <w:b/>
                  <w:i/>
                  <w:lang w:bidi="en-US"/>
                </w:rPr>
                <w:t>www.e-disclosure.ru</w:t>
              </w:r>
              <w:proofErr w:type="spellEnd"/>
              <w:r w:rsidR="007E4D8E" w:rsidRPr="00D23969">
                <w:rPr>
                  <w:b/>
                  <w:i/>
                  <w:lang w:bidi="en-US"/>
                </w:rPr>
                <w:t>/portal/</w:t>
              </w:r>
              <w:proofErr w:type="spellStart"/>
              <w:r w:rsidR="007E4D8E" w:rsidRPr="00D23969">
                <w:rPr>
                  <w:b/>
                  <w:i/>
                  <w:lang w:bidi="en-US"/>
                </w:rPr>
                <w:t>company.aspx?id</w:t>
              </w:r>
              <w:proofErr w:type="spellEnd"/>
              <w:r w:rsidR="007E4D8E" w:rsidRPr="00D23969">
                <w:rPr>
                  <w:b/>
                  <w:i/>
                  <w:lang w:bidi="en-US"/>
                </w:rPr>
                <w:t>=28</w:t>
              </w:r>
            </w:hyperlink>
            <w:r w:rsidR="007E4D8E" w:rsidRPr="00D23969">
              <w:rPr>
                <w:b/>
                <w:i/>
                <w:lang w:bidi="en-US"/>
              </w:rPr>
              <w:t xml:space="preserve"> </w:t>
            </w:r>
            <w:r w:rsidR="00281CC0" w:rsidRPr="00D23969">
              <w:rPr>
                <w:b/>
                <w:i/>
                <w:lang w:bidi="en-US"/>
              </w:rPr>
              <w:br/>
            </w:r>
            <w:r w:rsidR="007E4D8E" w:rsidRPr="00D23969">
              <w:rPr>
                <w:b/>
                <w:i/>
                <w:lang w:bidi="en-US"/>
              </w:rPr>
              <w:t>27;</w:t>
            </w:r>
          </w:p>
          <w:p w:rsidR="00103E7D" w:rsidRPr="00D23969" w:rsidRDefault="00103E7D" w:rsidP="00BA3302">
            <w:pPr>
              <w:pStyle w:val="TableParagraph"/>
              <w:ind w:left="84"/>
              <w:rPr>
                <w:b/>
              </w:rPr>
            </w:pPr>
          </w:p>
          <w:p w:rsidR="00103E7D" w:rsidRPr="00D23969" w:rsidRDefault="00AE486D" w:rsidP="00BA3302">
            <w:pPr>
              <w:pStyle w:val="TableParagraph"/>
              <w:ind w:left="84"/>
              <w:rPr>
                <w:b/>
                <w:i/>
              </w:rPr>
            </w:pPr>
            <w:hyperlink r:id="rId6">
              <w:r w:rsidR="007E4D8E" w:rsidRPr="00D23969">
                <w:rPr>
                  <w:b/>
                  <w:i/>
                  <w:lang w:bidi="en-US"/>
                </w:rPr>
                <w:t>http://</w:t>
              </w:r>
              <w:proofErr w:type="spellStart"/>
              <w:r w:rsidR="007E4D8E" w:rsidRPr="00D23969">
                <w:rPr>
                  <w:b/>
                  <w:i/>
                  <w:lang w:bidi="en-US"/>
                </w:rPr>
                <w:t>www.kubanenergo.ru</w:t>
              </w:r>
              <w:proofErr w:type="spellEnd"/>
            </w:hyperlink>
          </w:p>
        </w:tc>
      </w:tr>
      <w:tr w:rsidR="00103E7D" w:rsidRPr="00D23969" w:rsidTr="00A00177">
        <w:tc>
          <w:tcPr>
            <w:tcW w:w="5273" w:type="dxa"/>
          </w:tcPr>
          <w:p w:rsidR="00103E7D" w:rsidRPr="00D23969" w:rsidRDefault="007E4D8E" w:rsidP="00BA3302">
            <w:pPr>
              <w:pStyle w:val="TableParagraph"/>
              <w:ind w:left="84"/>
            </w:pPr>
            <w:r w:rsidRPr="00D23969">
              <w:rPr>
                <w:lang w:bidi="en-US"/>
              </w:rPr>
              <w:t>1.8. Date of the event (corporate action) specified in the notice (where applicable)</w:t>
            </w:r>
          </w:p>
        </w:tc>
        <w:tc>
          <w:tcPr>
            <w:tcW w:w="5170" w:type="dxa"/>
          </w:tcPr>
          <w:p w:rsidR="00103E7D" w:rsidRPr="00D23969" w:rsidRDefault="007E4D8E" w:rsidP="00BA3302">
            <w:pPr>
              <w:pStyle w:val="TableParagraph"/>
              <w:ind w:left="84"/>
              <w:rPr>
                <w:b/>
                <w:i/>
              </w:rPr>
            </w:pPr>
            <w:r w:rsidRPr="00D23969">
              <w:rPr>
                <w:b/>
                <w:i/>
                <w:lang w:bidi="en-US"/>
              </w:rPr>
              <w:t>29.11.2019</w:t>
            </w:r>
          </w:p>
        </w:tc>
      </w:tr>
      <w:tr w:rsidR="00103E7D" w:rsidRPr="00D23969" w:rsidTr="007E4D8E">
        <w:tc>
          <w:tcPr>
            <w:tcW w:w="10443" w:type="dxa"/>
            <w:gridSpan w:val="2"/>
          </w:tcPr>
          <w:p w:rsidR="00103E7D" w:rsidRPr="00D23969" w:rsidRDefault="007E4D8E" w:rsidP="00BA3302">
            <w:pPr>
              <w:pStyle w:val="TableParagraph"/>
              <w:spacing w:before="40" w:after="40"/>
              <w:ind w:left="85"/>
              <w:jc w:val="center"/>
            </w:pPr>
            <w:r w:rsidRPr="00D23969">
              <w:rPr>
                <w:lang w:bidi="en-US"/>
              </w:rPr>
              <w:t>2. Notice contents</w:t>
            </w:r>
          </w:p>
        </w:tc>
      </w:tr>
      <w:tr w:rsidR="00103E7D" w:rsidRPr="00D23969" w:rsidTr="007E4D8E">
        <w:tc>
          <w:tcPr>
            <w:tcW w:w="10443" w:type="dxa"/>
            <w:gridSpan w:val="2"/>
          </w:tcPr>
          <w:p w:rsidR="00103E7D" w:rsidRPr="00D23969" w:rsidRDefault="007E4D8E" w:rsidP="00BA3302">
            <w:pPr>
              <w:pStyle w:val="TableParagraph"/>
              <w:spacing w:before="40" w:after="40"/>
              <w:ind w:left="85"/>
              <w:jc w:val="center"/>
            </w:pPr>
            <w:r w:rsidRPr="00D23969">
              <w:rPr>
                <w:lang w:bidi="en-US"/>
              </w:rPr>
              <w:t>“on paid up revenue on equity securities of the issuer”</w:t>
            </w:r>
          </w:p>
        </w:tc>
      </w:tr>
      <w:tr w:rsidR="00103E7D" w:rsidRPr="00D23969" w:rsidTr="007E4D8E">
        <w:tc>
          <w:tcPr>
            <w:tcW w:w="10443" w:type="dxa"/>
            <w:gridSpan w:val="2"/>
          </w:tcPr>
          <w:p w:rsidR="00103E7D" w:rsidRPr="00D23969" w:rsidRDefault="007E4D8E" w:rsidP="007E4D8E">
            <w:pPr>
              <w:pStyle w:val="TableParagraph"/>
              <w:numPr>
                <w:ilvl w:val="1"/>
                <w:numId w:val="4"/>
              </w:numPr>
              <w:tabs>
                <w:tab w:val="left" w:pos="490"/>
              </w:tabs>
              <w:ind w:left="0" w:firstLine="0"/>
              <w:jc w:val="both"/>
              <w:rPr>
                <w:b/>
                <w:i/>
              </w:rPr>
            </w:pPr>
            <w:r w:rsidRPr="00D23969">
              <w:rPr>
                <w:lang w:bidi="en-US"/>
              </w:rPr>
              <w:t xml:space="preserve">Kind, category (type), series and other identification attributes of the issuer’s equity securities with the accrued revenue: </w:t>
            </w:r>
            <w:r w:rsidRPr="00D23969">
              <w:rPr>
                <w:b/>
                <w:i/>
                <w:lang w:bidi="en-US"/>
              </w:rPr>
              <w:t xml:space="preserve">exchange-traded interest-bearing inconvertible documentary bearer bonds subject to mandatory deposit of series </w:t>
            </w:r>
            <w:proofErr w:type="spellStart"/>
            <w:r w:rsidRPr="00D23969">
              <w:rPr>
                <w:b/>
                <w:i/>
                <w:lang w:bidi="en-US"/>
              </w:rPr>
              <w:t>001Р</w:t>
            </w:r>
            <w:proofErr w:type="spellEnd"/>
            <w:r w:rsidRPr="00D23969">
              <w:rPr>
                <w:b/>
                <w:i/>
                <w:lang w:bidi="en-US"/>
              </w:rPr>
              <w:t xml:space="preserve">-01 of Kubanenergo PJSC (issue identification number </w:t>
            </w:r>
            <w:proofErr w:type="spellStart"/>
            <w:r w:rsidRPr="00D23969">
              <w:rPr>
                <w:b/>
                <w:i/>
                <w:lang w:bidi="en-US"/>
              </w:rPr>
              <w:t>4B02</w:t>
            </w:r>
            <w:proofErr w:type="spellEnd"/>
            <w:r w:rsidRPr="00D23969">
              <w:rPr>
                <w:b/>
                <w:i/>
                <w:lang w:bidi="en-US"/>
              </w:rPr>
              <w:t>-01-00063-A-</w:t>
            </w:r>
            <w:proofErr w:type="spellStart"/>
            <w:r w:rsidRPr="00D23969">
              <w:rPr>
                <w:b/>
                <w:i/>
                <w:lang w:bidi="en-US"/>
              </w:rPr>
              <w:t>001P</w:t>
            </w:r>
            <w:proofErr w:type="spellEnd"/>
            <w:r w:rsidRPr="00D23969">
              <w:rPr>
                <w:b/>
                <w:i/>
                <w:lang w:bidi="en-US"/>
              </w:rPr>
              <w:t xml:space="preserve"> dated November 10, 2015) to be placed by public offering under the Exchange-Traded Bonds Program, identification number 4-00063-А-</w:t>
            </w:r>
            <w:proofErr w:type="spellStart"/>
            <w:r w:rsidRPr="00D23969">
              <w:rPr>
                <w:b/>
                <w:i/>
                <w:lang w:bidi="en-US"/>
              </w:rPr>
              <w:t>001P</w:t>
            </w:r>
            <w:proofErr w:type="spellEnd"/>
            <w:r w:rsidRPr="00D23969">
              <w:rPr>
                <w:b/>
                <w:i/>
                <w:lang w:bidi="en-US"/>
              </w:rPr>
              <w:t>-</w:t>
            </w:r>
            <w:proofErr w:type="spellStart"/>
            <w:r w:rsidRPr="00D23969">
              <w:rPr>
                <w:b/>
                <w:i/>
                <w:lang w:bidi="en-US"/>
              </w:rPr>
              <w:t>02E</w:t>
            </w:r>
            <w:proofErr w:type="spellEnd"/>
            <w:r w:rsidRPr="00D23969">
              <w:rPr>
                <w:b/>
                <w:i/>
                <w:lang w:bidi="en-US"/>
              </w:rPr>
              <w:t xml:space="preserve"> dated August 26, 2015 assigned by </w:t>
            </w:r>
            <w:proofErr w:type="spellStart"/>
            <w:r w:rsidRPr="00D23969">
              <w:rPr>
                <w:b/>
                <w:i/>
                <w:lang w:bidi="en-US"/>
              </w:rPr>
              <w:t>MICEX</w:t>
            </w:r>
            <w:proofErr w:type="spellEnd"/>
            <w:r w:rsidRPr="00D23969">
              <w:rPr>
                <w:b/>
                <w:i/>
                <w:lang w:bidi="en-US"/>
              </w:rPr>
              <w:t xml:space="preserve"> SE </w:t>
            </w:r>
            <w:r w:rsidR="00281CC0" w:rsidRPr="00D23969">
              <w:rPr>
                <w:b/>
                <w:i/>
                <w:lang w:bidi="en-US"/>
              </w:rPr>
              <w:t xml:space="preserve">CJSC </w:t>
            </w:r>
            <w:r w:rsidRPr="00D23969">
              <w:rPr>
                <w:b/>
                <w:i/>
                <w:lang w:bidi="en-US"/>
              </w:rPr>
              <w:t>(hereinafter referred to as “Exchange-Traded Bonds”), International Securities Identification Number (</w:t>
            </w:r>
            <w:proofErr w:type="spellStart"/>
            <w:r w:rsidRPr="00D23969">
              <w:rPr>
                <w:b/>
                <w:i/>
                <w:lang w:bidi="en-US"/>
              </w:rPr>
              <w:t>ISIN</w:t>
            </w:r>
            <w:proofErr w:type="spellEnd"/>
            <w:r w:rsidRPr="00D23969">
              <w:rPr>
                <w:b/>
                <w:i/>
                <w:lang w:bidi="en-US"/>
              </w:rPr>
              <w:t xml:space="preserve">-code): </w:t>
            </w:r>
            <w:proofErr w:type="spellStart"/>
            <w:r w:rsidRPr="00D23969">
              <w:rPr>
                <w:b/>
                <w:i/>
                <w:lang w:bidi="en-US"/>
              </w:rPr>
              <w:t>RU000A0JVZK7</w:t>
            </w:r>
            <w:proofErr w:type="spellEnd"/>
          </w:p>
          <w:p w:rsidR="00103E7D" w:rsidRPr="00D23969" w:rsidRDefault="007E4D8E" w:rsidP="007E4D8E">
            <w:pPr>
              <w:pStyle w:val="TableParagraph"/>
              <w:numPr>
                <w:ilvl w:val="1"/>
                <w:numId w:val="4"/>
              </w:numPr>
              <w:tabs>
                <w:tab w:val="left" w:pos="599"/>
                <w:tab w:val="left" w:pos="600"/>
                <w:tab w:val="left" w:pos="2850"/>
                <w:tab w:val="left" w:pos="3666"/>
                <w:tab w:val="left" w:pos="4684"/>
                <w:tab w:val="left" w:pos="5634"/>
                <w:tab w:val="left" w:pos="6424"/>
                <w:tab w:val="left" w:pos="7518"/>
                <w:tab w:val="left" w:pos="7876"/>
                <w:tab w:val="left" w:pos="8519"/>
                <w:tab w:val="left" w:pos="9057"/>
              </w:tabs>
              <w:ind w:left="0" w:firstLine="0"/>
              <w:jc w:val="both"/>
            </w:pPr>
            <w:r w:rsidRPr="00D23969">
              <w:rPr>
                <w:lang w:bidi="en-US"/>
              </w:rPr>
              <w:t>Identification number of the issuer’s securities issue and the date of assignment thereof:</w:t>
            </w:r>
          </w:p>
          <w:p w:rsidR="00103E7D" w:rsidRPr="00D23969" w:rsidRDefault="007E4D8E" w:rsidP="007E4D8E">
            <w:pPr>
              <w:pStyle w:val="TableParagraph"/>
              <w:ind w:left="0"/>
              <w:jc w:val="both"/>
              <w:rPr>
                <w:b/>
                <w:i/>
              </w:rPr>
            </w:pPr>
            <w:proofErr w:type="spellStart"/>
            <w:r w:rsidRPr="00D23969">
              <w:rPr>
                <w:b/>
                <w:i/>
                <w:lang w:bidi="en-US"/>
              </w:rPr>
              <w:t>4B02</w:t>
            </w:r>
            <w:proofErr w:type="spellEnd"/>
            <w:r w:rsidRPr="00D23969">
              <w:rPr>
                <w:b/>
                <w:i/>
                <w:lang w:bidi="en-US"/>
              </w:rPr>
              <w:t>-01-00063-A-</w:t>
            </w:r>
            <w:proofErr w:type="spellStart"/>
            <w:r w:rsidRPr="00D23969">
              <w:rPr>
                <w:b/>
                <w:i/>
                <w:lang w:bidi="en-US"/>
              </w:rPr>
              <w:t>001P</w:t>
            </w:r>
            <w:proofErr w:type="spellEnd"/>
            <w:r w:rsidRPr="00D23969">
              <w:rPr>
                <w:b/>
                <w:i/>
                <w:lang w:bidi="en-US"/>
              </w:rPr>
              <w:t xml:space="preserve"> of November 10, 2015</w:t>
            </w:r>
          </w:p>
          <w:p w:rsidR="00103E7D" w:rsidRPr="00D23969" w:rsidRDefault="007E4D8E" w:rsidP="007E4D8E">
            <w:pPr>
              <w:pStyle w:val="TableParagraph"/>
              <w:numPr>
                <w:ilvl w:val="1"/>
                <w:numId w:val="4"/>
              </w:numPr>
              <w:tabs>
                <w:tab w:val="left" w:pos="466"/>
              </w:tabs>
              <w:ind w:left="0" w:firstLine="0"/>
              <w:jc w:val="both"/>
            </w:pPr>
            <w:r w:rsidRPr="00D23969">
              <w:rPr>
                <w:lang w:bidi="en-US"/>
              </w:rPr>
              <w:t>Reporting (coupon) period (year, quarter or the start date and the end date of the coupon period) for which the revenue on the issuer’s securities was paid:</w:t>
            </w:r>
          </w:p>
          <w:p w:rsidR="00103E7D" w:rsidRPr="00D23969" w:rsidRDefault="007E4D8E" w:rsidP="007E4D8E">
            <w:pPr>
              <w:pStyle w:val="TableParagraph"/>
              <w:ind w:left="0"/>
              <w:jc w:val="both"/>
              <w:rPr>
                <w:b/>
                <w:i/>
              </w:rPr>
            </w:pPr>
            <w:r w:rsidRPr="00D23969">
              <w:rPr>
                <w:b/>
                <w:i/>
                <w:lang w:bidi="en-US"/>
              </w:rPr>
              <w:t>fourth coupon period start date – 31.05.2019;</w:t>
            </w:r>
          </w:p>
          <w:p w:rsidR="00103E7D" w:rsidRPr="00D23969" w:rsidRDefault="007E4D8E" w:rsidP="007E4D8E">
            <w:pPr>
              <w:pStyle w:val="TableParagraph"/>
              <w:ind w:left="0"/>
              <w:jc w:val="both"/>
              <w:rPr>
                <w:b/>
                <w:i/>
              </w:rPr>
            </w:pPr>
            <w:proofErr w:type="gramStart"/>
            <w:r w:rsidRPr="00D23969">
              <w:rPr>
                <w:b/>
                <w:i/>
                <w:lang w:bidi="en-US"/>
              </w:rPr>
              <w:t>fourth</w:t>
            </w:r>
            <w:proofErr w:type="gramEnd"/>
            <w:r w:rsidRPr="00D23969">
              <w:rPr>
                <w:b/>
                <w:i/>
                <w:lang w:bidi="en-US"/>
              </w:rPr>
              <w:t xml:space="preserve"> coupon period end date – 29.11.2019.</w:t>
            </w:r>
          </w:p>
          <w:p w:rsidR="00103E7D" w:rsidRPr="00D23969" w:rsidRDefault="007E4D8E" w:rsidP="00BA3302">
            <w:pPr>
              <w:pStyle w:val="TableParagraph"/>
              <w:numPr>
                <w:ilvl w:val="1"/>
                <w:numId w:val="4"/>
              </w:numPr>
              <w:tabs>
                <w:tab w:val="left" w:pos="546"/>
              </w:tabs>
              <w:ind w:left="0" w:firstLine="0"/>
              <w:jc w:val="both"/>
            </w:pPr>
            <w:r w:rsidRPr="00D23969">
              <w:rPr>
                <w:lang w:bidi="en-US"/>
              </w:rPr>
              <w:t>Aggregate amount of the accrued (payable) revenue on the issuer’s securities and the amount of the accrued (payable) revenue as per one security of the issuer; the total amount of interest and (or) other revenue that was due and payable upon the issuer’s bonds of a certain issue (series), and the amount of the interest and (or) other revenue that was due and payable upon one issuer’s bond of a certain issue (series) for the relevant reporting (coupon) period:</w:t>
            </w:r>
          </w:p>
          <w:p w:rsidR="00103E7D" w:rsidRPr="00D23969" w:rsidRDefault="007E4D8E" w:rsidP="007E4D8E">
            <w:pPr>
              <w:pStyle w:val="TableParagraph"/>
              <w:ind w:left="0"/>
              <w:jc w:val="both"/>
              <w:rPr>
                <w:b/>
                <w:i/>
              </w:rPr>
            </w:pPr>
            <w:r w:rsidRPr="00D23969">
              <w:rPr>
                <w:b/>
                <w:i/>
                <w:lang w:bidi="en-US"/>
              </w:rPr>
              <w:t>Eighth coupon period:</w:t>
            </w:r>
          </w:p>
          <w:p w:rsidR="00832D58" w:rsidRDefault="007E4D8E" w:rsidP="007E4D8E">
            <w:pPr>
              <w:pStyle w:val="TableParagraph"/>
              <w:ind w:left="0"/>
              <w:jc w:val="both"/>
              <w:rPr>
                <w:b/>
                <w:i/>
                <w:lang w:bidi="en-US"/>
              </w:rPr>
            </w:pPr>
            <w:r w:rsidRPr="00D23969">
              <w:rPr>
                <w:b/>
                <w:i/>
                <w:lang w:bidi="en-US"/>
              </w:rPr>
              <w:t>RUB 187,416,000.00 (</w:t>
            </w:r>
            <w:r w:rsidR="001046C5" w:rsidRPr="00D23969">
              <w:rPr>
                <w:b/>
                <w:i/>
                <w:lang w:bidi="en-US"/>
              </w:rPr>
              <w:t xml:space="preserve">one </w:t>
            </w:r>
            <w:r w:rsidRPr="00D23969">
              <w:rPr>
                <w:b/>
                <w:i/>
                <w:lang w:bidi="en-US"/>
              </w:rPr>
              <w:t xml:space="preserve">hundred eighty seven million four hundred sixteen thousand rubles 00 kopeks) </w:t>
            </w:r>
          </w:p>
          <w:p w:rsidR="00103E7D" w:rsidRPr="00D23969" w:rsidRDefault="007E4D8E" w:rsidP="007E4D8E">
            <w:pPr>
              <w:pStyle w:val="TableParagraph"/>
              <w:ind w:left="0"/>
              <w:jc w:val="both"/>
              <w:rPr>
                <w:b/>
                <w:i/>
              </w:rPr>
            </w:pPr>
            <w:r w:rsidRPr="00D23969">
              <w:rPr>
                <w:b/>
                <w:i/>
                <w:lang w:bidi="en-US"/>
              </w:rPr>
              <w:t>10.44% (ten point forty four) percent per annum (in rubles: RUB 52.06 (sixty two rubles 06 kopek</w:t>
            </w:r>
            <w:r w:rsidR="00CA71AD">
              <w:rPr>
                <w:b/>
                <w:i/>
                <w:lang w:bidi="en-US"/>
              </w:rPr>
              <w:t>s) per one Exchange-Traded Bond</w:t>
            </w:r>
          </w:p>
          <w:p w:rsidR="00103E7D" w:rsidRPr="00D23969" w:rsidRDefault="007E4D8E" w:rsidP="007E4D8E">
            <w:pPr>
              <w:pStyle w:val="TableParagraph"/>
              <w:numPr>
                <w:ilvl w:val="1"/>
                <w:numId w:val="3"/>
              </w:numPr>
              <w:tabs>
                <w:tab w:val="left" w:pos="449"/>
              </w:tabs>
              <w:ind w:left="0" w:firstLine="0"/>
              <w:jc w:val="both"/>
              <w:rPr>
                <w:b/>
                <w:i/>
              </w:rPr>
            </w:pPr>
            <w:r w:rsidRPr="00D23969">
              <w:rPr>
                <w:lang w:bidi="en-US"/>
              </w:rPr>
              <w:t xml:space="preserve">Total number of the issuer’s securities (number of the issuer’s shares of the relevant category (type); number of the bonds of the relevant issue (series) upon which the revenue was due: </w:t>
            </w:r>
            <w:r w:rsidRPr="00D23969">
              <w:rPr>
                <w:b/>
                <w:i/>
                <w:lang w:bidi="en-US"/>
              </w:rPr>
              <w:t>3,600,000 (</w:t>
            </w:r>
            <w:r w:rsidR="001046C5" w:rsidRPr="00D23969">
              <w:rPr>
                <w:b/>
                <w:i/>
                <w:lang w:bidi="en-US"/>
              </w:rPr>
              <w:t xml:space="preserve">three </w:t>
            </w:r>
            <w:r w:rsidRPr="00D23969">
              <w:rPr>
                <w:b/>
                <w:i/>
                <w:lang w:bidi="en-US"/>
              </w:rPr>
              <w:t>million six hundred thousand) pieces</w:t>
            </w:r>
          </w:p>
          <w:p w:rsidR="00103E7D" w:rsidRPr="00D23969" w:rsidRDefault="007E4D8E" w:rsidP="007E4D8E">
            <w:pPr>
              <w:pStyle w:val="TableParagraph"/>
              <w:numPr>
                <w:ilvl w:val="1"/>
                <w:numId w:val="3"/>
              </w:numPr>
              <w:tabs>
                <w:tab w:val="left" w:pos="361"/>
              </w:tabs>
              <w:ind w:left="0" w:firstLine="0"/>
              <w:jc w:val="both"/>
            </w:pPr>
            <w:r w:rsidRPr="00D23969">
              <w:rPr>
                <w:lang w:bidi="en-US"/>
              </w:rPr>
              <w:t>Modes of paying revenue on the issuer’s securities (cash, other property):</w:t>
            </w:r>
          </w:p>
          <w:p w:rsidR="00103E7D" w:rsidRPr="00D23969" w:rsidRDefault="007E4D8E" w:rsidP="007E4D8E">
            <w:pPr>
              <w:pStyle w:val="TableParagraph"/>
              <w:ind w:left="0"/>
              <w:jc w:val="both"/>
              <w:rPr>
                <w:b/>
                <w:i/>
              </w:rPr>
            </w:pPr>
            <w:r w:rsidRPr="00D23969">
              <w:rPr>
                <w:b/>
                <w:i/>
                <w:lang w:bidi="en-US"/>
              </w:rPr>
              <w:t>Cash</w:t>
            </w:r>
          </w:p>
          <w:p w:rsidR="00103E7D" w:rsidRPr="00D23969" w:rsidRDefault="007E4D8E" w:rsidP="007E4D8E">
            <w:pPr>
              <w:pStyle w:val="TableParagraph"/>
              <w:numPr>
                <w:ilvl w:val="1"/>
                <w:numId w:val="3"/>
              </w:numPr>
              <w:tabs>
                <w:tab w:val="left" w:pos="430"/>
              </w:tabs>
              <w:ind w:left="0" w:firstLine="0"/>
              <w:jc w:val="both"/>
            </w:pPr>
            <w:r w:rsidRPr="00D23969">
              <w:rPr>
                <w:lang w:bidi="en-US"/>
              </w:rPr>
              <w:t>Date whereon the persons eligible to receive revenue paid on the issuer’s securities were determined:</w:t>
            </w:r>
          </w:p>
          <w:p w:rsidR="00103E7D" w:rsidRPr="00D23969" w:rsidRDefault="007E4D8E" w:rsidP="007E4D8E">
            <w:pPr>
              <w:pStyle w:val="TableParagraph"/>
              <w:ind w:left="0"/>
              <w:jc w:val="both"/>
              <w:rPr>
                <w:b/>
                <w:i/>
              </w:rPr>
            </w:pPr>
            <w:r w:rsidRPr="00D23969">
              <w:rPr>
                <w:b/>
                <w:i/>
                <w:lang w:bidi="en-US"/>
              </w:rPr>
              <w:t>November 28, 2019 (end of the operating day)</w:t>
            </w:r>
          </w:p>
        </w:tc>
      </w:tr>
      <w:tr w:rsidR="00103E7D" w:rsidRPr="00D23969" w:rsidTr="007E4D8E">
        <w:tc>
          <w:tcPr>
            <w:tcW w:w="10443" w:type="dxa"/>
            <w:gridSpan w:val="2"/>
          </w:tcPr>
          <w:p w:rsidR="00103E7D" w:rsidRPr="00D23969" w:rsidRDefault="007E4D8E" w:rsidP="007E4D8E">
            <w:pPr>
              <w:pStyle w:val="TableParagraph"/>
              <w:pageBreakBefore/>
              <w:numPr>
                <w:ilvl w:val="1"/>
                <w:numId w:val="2"/>
              </w:numPr>
              <w:tabs>
                <w:tab w:val="left" w:pos="468"/>
              </w:tabs>
              <w:ind w:left="0" w:firstLine="0"/>
              <w:jc w:val="both"/>
              <w:rPr>
                <w:b/>
                <w:i/>
              </w:rPr>
            </w:pPr>
            <w:r w:rsidRPr="00D23969">
              <w:rPr>
                <w:lang w:bidi="en-US"/>
              </w:rPr>
              <w:lastRenderedPageBreak/>
              <w:t xml:space="preserve">Date on which the obligation to pay revenue on the issuer’s securities (dividends on shares, bond revenue (interest, nominal value, part of the nominal value)) is to be fulfilled, and, if the obligation to pay revenue on securities is to be fulfilled by the issuer during a specified term (time limit), such term expiry date: </w:t>
            </w:r>
            <w:r w:rsidRPr="00D23969">
              <w:rPr>
                <w:b/>
                <w:i/>
                <w:lang w:bidi="en-US"/>
              </w:rPr>
              <w:t>November 29, 2019</w:t>
            </w:r>
          </w:p>
          <w:p w:rsidR="00103E7D" w:rsidRPr="00D23969" w:rsidRDefault="007E4D8E" w:rsidP="007E4D8E">
            <w:pPr>
              <w:pStyle w:val="TableParagraph"/>
              <w:numPr>
                <w:ilvl w:val="1"/>
                <w:numId w:val="2"/>
              </w:numPr>
              <w:tabs>
                <w:tab w:val="left" w:pos="480"/>
              </w:tabs>
              <w:ind w:left="0" w:firstLine="0"/>
              <w:jc w:val="both"/>
            </w:pPr>
            <w:r w:rsidRPr="00D23969">
              <w:rPr>
                <w:lang w:bidi="en-US"/>
              </w:rPr>
              <w:t>Total revenue paid up on the securities of the issuer (total amount of the dividends paid on the issuer’s shares of a certain category (type); total amount of interest and (or) other revenue paid up on the issuer’s bonds of a certain issue (series), for the respective reporting (coupon) period:</w:t>
            </w:r>
          </w:p>
          <w:p w:rsidR="00BA3302" w:rsidRPr="00D23969" w:rsidRDefault="007E4D8E" w:rsidP="007E4D8E">
            <w:pPr>
              <w:pStyle w:val="TableParagraph"/>
              <w:ind w:left="0"/>
              <w:jc w:val="both"/>
              <w:rPr>
                <w:b/>
                <w:i/>
                <w:lang w:bidi="en-US"/>
              </w:rPr>
            </w:pPr>
            <w:r w:rsidRPr="00D23969">
              <w:rPr>
                <w:b/>
                <w:i/>
                <w:lang w:bidi="en-US"/>
              </w:rPr>
              <w:t>RUB 187,416,000.00 (</w:t>
            </w:r>
            <w:r w:rsidR="00AE486D" w:rsidRPr="00D23969">
              <w:rPr>
                <w:b/>
                <w:i/>
                <w:lang w:bidi="en-US"/>
              </w:rPr>
              <w:t>o</w:t>
            </w:r>
            <w:bookmarkStart w:id="0" w:name="_GoBack"/>
            <w:bookmarkEnd w:id="0"/>
            <w:r w:rsidR="00AE486D" w:rsidRPr="00D23969">
              <w:rPr>
                <w:b/>
                <w:i/>
                <w:lang w:bidi="en-US"/>
              </w:rPr>
              <w:t xml:space="preserve">ne </w:t>
            </w:r>
            <w:r w:rsidRPr="00D23969">
              <w:rPr>
                <w:b/>
                <w:i/>
                <w:lang w:bidi="en-US"/>
              </w:rPr>
              <w:t>hundred eighty seven million four hundred six</w:t>
            </w:r>
            <w:r w:rsidR="00BA3302" w:rsidRPr="00D23969">
              <w:rPr>
                <w:b/>
                <w:i/>
                <w:lang w:bidi="en-US"/>
              </w:rPr>
              <w:t>teen thousand rubles 00</w:t>
            </w:r>
            <w:r w:rsidR="00D23969" w:rsidRPr="00D23969">
              <w:rPr>
                <w:b/>
                <w:i/>
                <w:lang w:val="ru-RU" w:bidi="en-US"/>
              </w:rPr>
              <w:t> </w:t>
            </w:r>
            <w:r w:rsidR="00BA3302" w:rsidRPr="00D23969">
              <w:rPr>
                <w:b/>
                <w:i/>
                <w:lang w:bidi="en-US"/>
              </w:rPr>
              <w:t>kopeks)</w:t>
            </w:r>
          </w:p>
          <w:p w:rsidR="00103E7D" w:rsidRPr="00D23969" w:rsidRDefault="007E4D8E" w:rsidP="007E4D8E">
            <w:pPr>
              <w:pStyle w:val="TableParagraph"/>
              <w:ind w:left="0"/>
              <w:jc w:val="both"/>
            </w:pPr>
            <w:r w:rsidRPr="00D23969">
              <w:rPr>
                <w:lang w:bidi="en-US"/>
              </w:rPr>
              <w:t>2.10. In case the revenue on the issuer’s securities failed to have been paid or have been paid by the issuer not in full, the reasons for the failure to pay revenue on the securities of the issuer:</w:t>
            </w:r>
          </w:p>
          <w:p w:rsidR="00103E7D" w:rsidRPr="00D23969" w:rsidRDefault="007E4D8E" w:rsidP="007E4D8E">
            <w:pPr>
              <w:pStyle w:val="TableParagraph"/>
              <w:ind w:left="0"/>
              <w:jc w:val="both"/>
              <w:rPr>
                <w:b/>
                <w:i/>
              </w:rPr>
            </w:pPr>
            <w:r w:rsidRPr="00D23969">
              <w:rPr>
                <w:b/>
                <w:i/>
                <w:lang w:bidi="en-US"/>
              </w:rPr>
              <w:t>Obligation has been performed in full</w:t>
            </w:r>
          </w:p>
        </w:tc>
      </w:tr>
      <w:tr w:rsidR="00103E7D" w:rsidRPr="00D23969" w:rsidTr="007E4D8E">
        <w:tc>
          <w:tcPr>
            <w:tcW w:w="10443" w:type="dxa"/>
            <w:gridSpan w:val="2"/>
            <w:tcBorders>
              <w:bottom w:val="single" w:sz="8" w:space="0" w:color="000000"/>
            </w:tcBorders>
          </w:tcPr>
          <w:p w:rsidR="00103E7D" w:rsidRPr="00D23969" w:rsidRDefault="007E4D8E" w:rsidP="00BA3302">
            <w:pPr>
              <w:pStyle w:val="TableParagraph"/>
              <w:spacing w:before="40" w:after="40"/>
              <w:ind w:left="85"/>
              <w:jc w:val="center"/>
            </w:pPr>
            <w:r w:rsidRPr="00D23969">
              <w:rPr>
                <w:lang w:bidi="en-US"/>
              </w:rPr>
              <w:t>3. Signature</w:t>
            </w:r>
          </w:p>
        </w:tc>
      </w:tr>
      <w:tr w:rsidR="00103E7D" w:rsidRPr="00D23969" w:rsidTr="007E4D8E">
        <w:tc>
          <w:tcPr>
            <w:tcW w:w="10443" w:type="dxa"/>
            <w:gridSpan w:val="2"/>
            <w:tcBorders>
              <w:top w:val="single" w:sz="8" w:space="0" w:color="000000"/>
            </w:tcBorders>
          </w:tcPr>
          <w:p w:rsidR="00103E7D" w:rsidRPr="00D23969" w:rsidRDefault="007E4D8E" w:rsidP="00BA3302">
            <w:pPr>
              <w:pStyle w:val="TableParagraph"/>
              <w:numPr>
                <w:ilvl w:val="1"/>
                <w:numId w:val="1"/>
              </w:numPr>
              <w:tabs>
                <w:tab w:val="left" w:pos="567"/>
              </w:tabs>
              <w:ind w:left="112" w:firstLine="0"/>
            </w:pPr>
            <w:r w:rsidRPr="00D23969">
              <w:rPr>
                <w:lang w:bidi="en-US"/>
              </w:rPr>
              <w:t>Deputy General Director for Corporate Governance</w:t>
            </w:r>
          </w:p>
          <w:p w:rsidR="00103E7D" w:rsidRPr="00D23969" w:rsidRDefault="007E4D8E" w:rsidP="00BA3302">
            <w:pPr>
              <w:pStyle w:val="TableParagraph"/>
              <w:tabs>
                <w:tab w:val="left" w:pos="567"/>
                <w:tab w:val="left" w:pos="6521"/>
                <w:tab w:val="left" w:pos="8385"/>
                <w:tab w:val="left" w:pos="8680"/>
              </w:tabs>
              <w:ind w:left="112"/>
            </w:pPr>
            <w:r w:rsidRPr="00D23969">
              <w:rPr>
                <w:lang w:bidi="en-US"/>
              </w:rPr>
              <w:t>(by Power of Attorney No.</w:t>
            </w:r>
            <w:r w:rsidR="00973E70" w:rsidRPr="00D23969">
              <w:rPr>
                <w:lang w:val="ru-RU" w:bidi="en-US"/>
              </w:rPr>
              <w:t xml:space="preserve"> </w:t>
            </w:r>
            <w:r w:rsidRPr="00D23969">
              <w:rPr>
                <w:lang w:bidi="en-US"/>
              </w:rPr>
              <w:t>23/256-н/23-2018-12-77 dd. 12.12.2018)</w:t>
            </w:r>
            <w:r w:rsidR="00BA3302" w:rsidRPr="00D23969">
              <w:rPr>
                <w:lang w:bidi="en-US"/>
              </w:rPr>
              <w:tab/>
            </w:r>
            <w:r w:rsidR="00BA3302" w:rsidRPr="00D23969">
              <w:rPr>
                <w:u w:val="single"/>
                <w:lang w:bidi="en-US"/>
              </w:rPr>
              <w:tab/>
            </w:r>
            <w:r w:rsidR="00BA3302" w:rsidRPr="00D23969">
              <w:rPr>
                <w:lang w:bidi="en-US"/>
              </w:rPr>
              <w:tab/>
            </w:r>
            <w:proofErr w:type="spellStart"/>
            <w:r w:rsidRPr="00D23969">
              <w:rPr>
                <w:lang w:bidi="en-US"/>
              </w:rPr>
              <w:t>Z.I</w:t>
            </w:r>
            <w:proofErr w:type="spellEnd"/>
            <w:r w:rsidRPr="00D23969">
              <w:rPr>
                <w:lang w:bidi="en-US"/>
              </w:rPr>
              <w:t xml:space="preserve">. </w:t>
            </w:r>
            <w:proofErr w:type="spellStart"/>
            <w:r w:rsidRPr="00D23969">
              <w:rPr>
                <w:lang w:bidi="en-US"/>
              </w:rPr>
              <w:t>Khazikova</w:t>
            </w:r>
            <w:proofErr w:type="spellEnd"/>
          </w:p>
          <w:p w:rsidR="00103E7D" w:rsidRPr="00D23969" w:rsidRDefault="00103E7D" w:rsidP="00BA3302">
            <w:pPr>
              <w:pStyle w:val="TableParagraph"/>
              <w:tabs>
                <w:tab w:val="left" w:pos="567"/>
              </w:tabs>
              <w:ind w:left="112"/>
              <w:rPr>
                <w:b/>
              </w:rPr>
            </w:pPr>
          </w:p>
          <w:p w:rsidR="00103E7D" w:rsidRPr="00D23969" w:rsidRDefault="00BA3302" w:rsidP="00973E70">
            <w:pPr>
              <w:pStyle w:val="TableParagraph"/>
              <w:numPr>
                <w:ilvl w:val="1"/>
                <w:numId w:val="1"/>
              </w:numPr>
              <w:tabs>
                <w:tab w:val="left" w:pos="574"/>
                <w:tab w:val="left" w:pos="6537"/>
              </w:tabs>
              <w:ind w:left="112" w:firstLine="0"/>
            </w:pPr>
            <w:r w:rsidRPr="00D23969">
              <w:rPr>
                <w:lang w:bidi="en-US"/>
              </w:rPr>
              <w:t>Date 02 December 2019</w:t>
            </w:r>
            <w:r w:rsidR="007E4D8E" w:rsidRPr="00D23969">
              <w:rPr>
                <w:lang w:bidi="en-US"/>
              </w:rPr>
              <w:tab/>
            </w:r>
            <w:proofErr w:type="spellStart"/>
            <w:r w:rsidR="007E4D8E" w:rsidRPr="00D23969">
              <w:rPr>
                <w:lang w:bidi="en-US"/>
              </w:rPr>
              <w:t>L.S</w:t>
            </w:r>
            <w:proofErr w:type="spellEnd"/>
            <w:r w:rsidR="007E4D8E" w:rsidRPr="00D23969">
              <w:rPr>
                <w:lang w:bidi="en-US"/>
              </w:rPr>
              <w:t>.</w:t>
            </w:r>
          </w:p>
        </w:tc>
      </w:tr>
    </w:tbl>
    <w:p w:rsidR="000D5440" w:rsidRPr="00D23969" w:rsidRDefault="000D5440" w:rsidP="007E4D8E"/>
    <w:sectPr w:rsidR="000D5440" w:rsidRPr="00D23969" w:rsidSect="007E4D8E">
      <w:pgSz w:w="11900" w:h="16840" w:code="9"/>
      <w:pgMar w:top="1140" w:right="454" w:bottom="340" w:left="9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F64"/>
    <w:multiLevelType w:val="multilevel"/>
    <w:tmpl w:val="4ADEBC88"/>
    <w:lvl w:ilvl="0">
      <w:start w:val="2"/>
      <w:numFmt w:val="decimal"/>
      <w:lvlText w:val="%1"/>
      <w:lvlJc w:val="left"/>
      <w:pPr>
        <w:ind w:left="28" w:hanging="461"/>
        <w:jc w:val="left"/>
      </w:pPr>
      <w:rPr>
        <w:rFonts w:hint="default"/>
      </w:rPr>
    </w:lvl>
    <w:lvl w:ilvl="1">
      <w:start w:val="1"/>
      <w:numFmt w:val="decimal"/>
      <w:lvlText w:val="%1.%2."/>
      <w:lvlJc w:val="left"/>
      <w:pPr>
        <w:ind w:left="28" w:hanging="461"/>
        <w:jc w:val="left"/>
      </w:pPr>
      <w:rPr>
        <w:rFonts w:ascii="Times New Roman" w:eastAsia="Times New Roman" w:hAnsi="Times New Roman" w:cs="Times New Roman" w:hint="default"/>
        <w:b w:val="0"/>
        <w:i w:val="0"/>
        <w:w w:val="100"/>
        <w:sz w:val="24"/>
        <w:szCs w:val="22"/>
      </w:rPr>
    </w:lvl>
    <w:lvl w:ilvl="2">
      <w:numFmt w:val="bullet"/>
      <w:lvlText w:val="•"/>
      <w:lvlJc w:val="left"/>
      <w:pPr>
        <w:ind w:left="2060" w:hanging="461"/>
      </w:pPr>
      <w:rPr>
        <w:rFonts w:hint="default"/>
      </w:rPr>
    </w:lvl>
    <w:lvl w:ilvl="3">
      <w:numFmt w:val="bullet"/>
      <w:lvlText w:val="•"/>
      <w:lvlJc w:val="left"/>
      <w:pPr>
        <w:ind w:left="3080" w:hanging="461"/>
      </w:pPr>
      <w:rPr>
        <w:rFonts w:hint="default"/>
      </w:rPr>
    </w:lvl>
    <w:lvl w:ilvl="4">
      <w:numFmt w:val="bullet"/>
      <w:lvlText w:val="•"/>
      <w:lvlJc w:val="left"/>
      <w:pPr>
        <w:ind w:left="4100" w:hanging="461"/>
      </w:pPr>
      <w:rPr>
        <w:rFonts w:hint="default"/>
      </w:rPr>
    </w:lvl>
    <w:lvl w:ilvl="5">
      <w:numFmt w:val="bullet"/>
      <w:lvlText w:val="•"/>
      <w:lvlJc w:val="left"/>
      <w:pPr>
        <w:ind w:left="5121" w:hanging="461"/>
      </w:pPr>
      <w:rPr>
        <w:rFonts w:hint="default"/>
      </w:rPr>
    </w:lvl>
    <w:lvl w:ilvl="6">
      <w:numFmt w:val="bullet"/>
      <w:lvlText w:val="•"/>
      <w:lvlJc w:val="left"/>
      <w:pPr>
        <w:ind w:left="6141" w:hanging="461"/>
      </w:pPr>
      <w:rPr>
        <w:rFonts w:hint="default"/>
      </w:rPr>
    </w:lvl>
    <w:lvl w:ilvl="7">
      <w:numFmt w:val="bullet"/>
      <w:lvlText w:val="•"/>
      <w:lvlJc w:val="left"/>
      <w:pPr>
        <w:ind w:left="7161" w:hanging="461"/>
      </w:pPr>
      <w:rPr>
        <w:rFonts w:hint="default"/>
      </w:rPr>
    </w:lvl>
    <w:lvl w:ilvl="8">
      <w:numFmt w:val="bullet"/>
      <w:lvlText w:val="•"/>
      <w:lvlJc w:val="left"/>
      <w:pPr>
        <w:ind w:left="8181" w:hanging="461"/>
      </w:pPr>
      <w:rPr>
        <w:rFonts w:hint="default"/>
      </w:rPr>
    </w:lvl>
  </w:abstractNum>
  <w:abstractNum w:abstractNumId="1">
    <w:nsid w:val="05414E4E"/>
    <w:multiLevelType w:val="multilevel"/>
    <w:tmpl w:val="DD78C894"/>
    <w:lvl w:ilvl="0">
      <w:start w:val="2"/>
      <w:numFmt w:val="decimal"/>
      <w:lvlText w:val="%1"/>
      <w:lvlJc w:val="left"/>
      <w:pPr>
        <w:ind w:left="28" w:hanging="440"/>
        <w:jc w:val="left"/>
      </w:pPr>
      <w:rPr>
        <w:rFonts w:hint="default"/>
      </w:rPr>
    </w:lvl>
    <w:lvl w:ilvl="1">
      <w:start w:val="8"/>
      <w:numFmt w:val="decimal"/>
      <w:lvlText w:val="%1.%2."/>
      <w:lvlJc w:val="left"/>
      <w:pPr>
        <w:ind w:left="28" w:hanging="440"/>
        <w:jc w:val="left"/>
      </w:pPr>
      <w:rPr>
        <w:rFonts w:ascii="Times New Roman" w:eastAsia="Times New Roman" w:hAnsi="Times New Roman" w:cs="Times New Roman" w:hint="default"/>
        <w:b w:val="0"/>
        <w:i w:val="0"/>
        <w:w w:val="100"/>
        <w:sz w:val="24"/>
        <w:szCs w:val="22"/>
      </w:rPr>
    </w:lvl>
    <w:lvl w:ilvl="2">
      <w:numFmt w:val="bullet"/>
      <w:lvlText w:val="•"/>
      <w:lvlJc w:val="left"/>
      <w:pPr>
        <w:ind w:left="2061" w:hanging="440"/>
      </w:pPr>
      <w:rPr>
        <w:rFonts w:hint="default"/>
      </w:rPr>
    </w:lvl>
    <w:lvl w:ilvl="3">
      <w:numFmt w:val="bullet"/>
      <w:lvlText w:val="•"/>
      <w:lvlJc w:val="left"/>
      <w:pPr>
        <w:ind w:left="3081" w:hanging="440"/>
      </w:pPr>
      <w:rPr>
        <w:rFonts w:hint="default"/>
      </w:rPr>
    </w:lvl>
    <w:lvl w:ilvl="4">
      <w:numFmt w:val="bullet"/>
      <w:lvlText w:val="•"/>
      <w:lvlJc w:val="left"/>
      <w:pPr>
        <w:ind w:left="4102" w:hanging="440"/>
      </w:pPr>
      <w:rPr>
        <w:rFonts w:hint="default"/>
      </w:rPr>
    </w:lvl>
    <w:lvl w:ilvl="5">
      <w:numFmt w:val="bullet"/>
      <w:lvlText w:val="•"/>
      <w:lvlJc w:val="left"/>
      <w:pPr>
        <w:ind w:left="5123" w:hanging="440"/>
      </w:pPr>
      <w:rPr>
        <w:rFonts w:hint="default"/>
      </w:rPr>
    </w:lvl>
    <w:lvl w:ilvl="6">
      <w:numFmt w:val="bullet"/>
      <w:lvlText w:val="•"/>
      <w:lvlJc w:val="left"/>
      <w:pPr>
        <w:ind w:left="6143" w:hanging="440"/>
      </w:pPr>
      <w:rPr>
        <w:rFonts w:hint="default"/>
      </w:rPr>
    </w:lvl>
    <w:lvl w:ilvl="7">
      <w:numFmt w:val="bullet"/>
      <w:lvlText w:val="•"/>
      <w:lvlJc w:val="left"/>
      <w:pPr>
        <w:ind w:left="7164" w:hanging="440"/>
      </w:pPr>
      <w:rPr>
        <w:rFonts w:hint="default"/>
      </w:rPr>
    </w:lvl>
    <w:lvl w:ilvl="8">
      <w:numFmt w:val="bullet"/>
      <w:lvlText w:val="•"/>
      <w:lvlJc w:val="left"/>
      <w:pPr>
        <w:ind w:left="8184" w:hanging="440"/>
      </w:pPr>
      <w:rPr>
        <w:rFonts w:hint="default"/>
      </w:rPr>
    </w:lvl>
  </w:abstractNum>
  <w:abstractNum w:abstractNumId="2">
    <w:nsid w:val="21FF72B2"/>
    <w:multiLevelType w:val="multilevel"/>
    <w:tmpl w:val="23B66F78"/>
    <w:lvl w:ilvl="0">
      <w:start w:val="3"/>
      <w:numFmt w:val="decimal"/>
      <w:lvlText w:val="%1"/>
      <w:lvlJc w:val="left"/>
      <w:pPr>
        <w:ind w:left="136" w:hanging="318"/>
        <w:jc w:val="left"/>
      </w:pPr>
      <w:rPr>
        <w:rFonts w:hint="default"/>
      </w:rPr>
    </w:lvl>
    <w:lvl w:ilvl="1">
      <w:start w:val="1"/>
      <w:numFmt w:val="decimal"/>
      <w:lvlText w:val="%1.%2."/>
      <w:lvlJc w:val="left"/>
      <w:pPr>
        <w:ind w:left="136" w:hanging="318"/>
        <w:jc w:val="left"/>
      </w:pPr>
      <w:rPr>
        <w:rFonts w:hint="default"/>
        <w:w w:val="100"/>
        <w:sz w:val="22"/>
      </w:rPr>
    </w:lvl>
    <w:lvl w:ilvl="2">
      <w:numFmt w:val="bullet"/>
      <w:lvlText w:val="•"/>
      <w:lvlJc w:val="left"/>
      <w:pPr>
        <w:ind w:left="2157" w:hanging="318"/>
      </w:pPr>
      <w:rPr>
        <w:rFonts w:hint="default"/>
      </w:rPr>
    </w:lvl>
    <w:lvl w:ilvl="3">
      <w:numFmt w:val="bullet"/>
      <w:lvlText w:val="•"/>
      <w:lvlJc w:val="left"/>
      <w:pPr>
        <w:ind w:left="3165" w:hanging="318"/>
      </w:pPr>
      <w:rPr>
        <w:rFonts w:hint="default"/>
      </w:rPr>
    </w:lvl>
    <w:lvl w:ilvl="4">
      <w:numFmt w:val="bullet"/>
      <w:lvlText w:val="•"/>
      <w:lvlJc w:val="left"/>
      <w:pPr>
        <w:ind w:left="4174" w:hanging="318"/>
      </w:pPr>
      <w:rPr>
        <w:rFonts w:hint="default"/>
      </w:rPr>
    </w:lvl>
    <w:lvl w:ilvl="5">
      <w:numFmt w:val="bullet"/>
      <w:lvlText w:val="•"/>
      <w:lvlJc w:val="left"/>
      <w:pPr>
        <w:ind w:left="5183" w:hanging="318"/>
      </w:pPr>
      <w:rPr>
        <w:rFonts w:hint="default"/>
      </w:rPr>
    </w:lvl>
    <w:lvl w:ilvl="6">
      <w:numFmt w:val="bullet"/>
      <w:lvlText w:val="•"/>
      <w:lvlJc w:val="left"/>
      <w:pPr>
        <w:ind w:left="6191" w:hanging="318"/>
      </w:pPr>
      <w:rPr>
        <w:rFonts w:hint="default"/>
      </w:rPr>
    </w:lvl>
    <w:lvl w:ilvl="7">
      <w:numFmt w:val="bullet"/>
      <w:lvlText w:val="•"/>
      <w:lvlJc w:val="left"/>
      <w:pPr>
        <w:ind w:left="7200" w:hanging="318"/>
      </w:pPr>
      <w:rPr>
        <w:rFonts w:hint="default"/>
      </w:rPr>
    </w:lvl>
    <w:lvl w:ilvl="8">
      <w:numFmt w:val="bullet"/>
      <w:lvlText w:val="•"/>
      <w:lvlJc w:val="left"/>
      <w:pPr>
        <w:ind w:left="8208" w:hanging="318"/>
      </w:pPr>
      <w:rPr>
        <w:rFonts w:hint="default"/>
      </w:rPr>
    </w:lvl>
  </w:abstractNum>
  <w:abstractNum w:abstractNumId="3">
    <w:nsid w:val="664242C7"/>
    <w:multiLevelType w:val="multilevel"/>
    <w:tmpl w:val="3A6A770E"/>
    <w:lvl w:ilvl="0">
      <w:start w:val="2"/>
      <w:numFmt w:val="decimal"/>
      <w:lvlText w:val="%1"/>
      <w:lvlJc w:val="left"/>
      <w:pPr>
        <w:ind w:left="28" w:hanging="420"/>
        <w:jc w:val="left"/>
      </w:pPr>
      <w:rPr>
        <w:rFonts w:hint="default"/>
      </w:rPr>
    </w:lvl>
    <w:lvl w:ilvl="1">
      <w:start w:val="5"/>
      <w:numFmt w:val="decimal"/>
      <w:lvlText w:val="%1.%2."/>
      <w:lvlJc w:val="left"/>
      <w:pPr>
        <w:ind w:left="28" w:hanging="420"/>
        <w:jc w:val="left"/>
      </w:pPr>
      <w:rPr>
        <w:rFonts w:ascii="Times New Roman" w:eastAsia="Times New Roman" w:hAnsi="Times New Roman" w:cs="Times New Roman" w:hint="default"/>
        <w:b w:val="0"/>
        <w:i w:val="0"/>
        <w:w w:val="100"/>
        <w:sz w:val="24"/>
        <w:szCs w:val="22"/>
      </w:rPr>
    </w:lvl>
    <w:lvl w:ilvl="2">
      <w:numFmt w:val="bullet"/>
      <w:lvlText w:val="•"/>
      <w:lvlJc w:val="left"/>
      <w:pPr>
        <w:ind w:left="2060" w:hanging="420"/>
      </w:pPr>
      <w:rPr>
        <w:rFonts w:hint="default"/>
      </w:rPr>
    </w:lvl>
    <w:lvl w:ilvl="3">
      <w:numFmt w:val="bullet"/>
      <w:lvlText w:val="•"/>
      <w:lvlJc w:val="left"/>
      <w:pPr>
        <w:ind w:left="3080" w:hanging="420"/>
      </w:pPr>
      <w:rPr>
        <w:rFonts w:hint="default"/>
      </w:rPr>
    </w:lvl>
    <w:lvl w:ilvl="4">
      <w:numFmt w:val="bullet"/>
      <w:lvlText w:val="•"/>
      <w:lvlJc w:val="left"/>
      <w:pPr>
        <w:ind w:left="4100" w:hanging="420"/>
      </w:pPr>
      <w:rPr>
        <w:rFonts w:hint="default"/>
      </w:rPr>
    </w:lvl>
    <w:lvl w:ilvl="5">
      <w:numFmt w:val="bullet"/>
      <w:lvlText w:val="•"/>
      <w:lvlJc w:val="left"/>
      <w:pPr>
        <w:ind w:left="5121" w:hanging="420"/>
      </w:pPr>
      <w:rPr>
        <w:rFonts w:hint="default"/>
      </w:rPr>
    </w:lvl>
    <w:lvl w:ilvl="6">
      <w:numFmt w:val="bullet"/>
      <w:lvlText w:val="•"/>
      <w:lvlJc w:val="left"/>
      <w:pPr>
        <w:ind w:left="6141" w:hanging="420"/>
      </w:pPr>
      <w:rPr>
        <w:rFonts w:hint="default"/>
      </w:rPr>
    </w:lvl>
    <w:lvl w:ilvl="7">
      <w:numFmt w:val="bullet"/>
      <w:lvlText w:val="•"/>
      <w:lvlJc w:val="left"/>
      <w:pPr>
        <w:ind w:left="7161" w:hanging="420"/>
      </w:pPr>
      <w:rPr>
        <w:rFonts w:hint="default"/>
      </w:rPr>
    </w:lvl>
    <w:lvl w:ilvl="8">
      <w:numFmt w:val="bullet"/>
      <w:lvlText w:val="•"/>
      <w:lvlJc w:val="left"/>
      <w:pPr>
        <w:ind w:left="8181" w:hanging="42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103E7D"/>
    <w:rsid w:val="000D5440"/>
    <w:rsid w:val="00103E7D"/>
    <w:rsid w:val="001046C5"/>
    <w:rsid w:val="00281CC0"/>
    <w:rsid w:val="007E4D8E"/>
    <w:rsid w:val="00832D58"/>
    <w:rsid w:val="00973E70"/>
    <w:rsid w:val="00A00177"/>
    <w:rsid w:val="00AE486D"/>
    <w:rsid w:val="00BA3302"/>
    <w:rsid w:val="00CA71AD"/>
    <w:rsid w:val="00D23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92DF6-AFA2-40F9-BBC4-DD4928D1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1693" w:right="1668"/>
      <w:jc w:val="center"/>
    </w:pPr>
    <w:rPr>
      <w:b/>
      <w:bCs/>
    </w:rPr>
  </w:style>
  <w:style w:type="paragraph" w:styleId="a4">
    <w:name w:val="List Paragraph"/>
    <w:basedOn w:val="a"/>
    <w:uiPriority w:val="1"/>
    <w:qFormat/>
  </w:style>
  <w:style w:type="paragraph" w:customStyle="1" w:styleId="TableParagraph">
    <w:name w:val="Table Paragraph"/>
    <w:basedOn w:val="a"/>
    <w:uiPriority w:val="1"/>
    <w:qFormat/>
    <w:pPr>
      <w:ind w:left="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685</Words>
  <Characters>3906</Characters>
  <Application>Microsoft Office Word</Application>
  <DocSecurity>0</DocSecurity>
  <Lines>32</Lines>
  <Paragraphs>9</Paragraphs>
  <ScaleCrop>false</ScaleCrop>
  <Company>SPecialiST RePack</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\376\377\004\036\000 \0042\004K\004?\004;\0040\004B\0045\000 \004:\004C\004?\004&gt;\004=\004=\004&gt;\0043\004&gt;\000 \0044\004&gt;\004E\004&gt;\0044\0040\000 \0002\0009\000.\0001\0001\000.\0002\0000\0001\0009</dc:title>
  <dc:creator>\376\377\000Y\000u\000r\000c\000h\000e\000n\000k\000o\000A\000I</dc:creator>
  <cp:keywords>()</cp:keywords>
  <cp:lastModifiedBy>Валерия Яески</cp:lastModifiedBy>
  <cp:revision>11</cp:revision>
  <dcterms:created xsi:type="dcterms:W3CDTF">2019-12-11T12:47:00Z</dcterms:created>
  <dcterms:modified xsi:type="dcterms:W3CDTF">2019-12-16T09:57:00Z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\376\377\000P\000D\000F\000C\000r\000e\000a\000t\000o\000r\000 \000V\000e\000r\000s\000i\000o\000n\000 \0001\000.\0000\000.\0002</vt:lpwstr>
  </property>
  <property fmtid="{D5CDD505-2E9C-101B-9397-08002B2CF9AE}" pid="4" name="LastSaved">
    <vt:filetime>2019-12-11T00:00:00Z</vt:filetime>
  </property>
</Properties>
</file>