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26D" w:rsidRPr="0074277F" w:rsidRDefault="0045226D" w:rsidP="00273E6A">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Corporate action notice</w:t>
      </w:r>
    </w:p>
    <w:p w:rsidR="00232B2C" w:rsidRPr="0074277F" w:rsidRDefault="002D1B98" w:rsidP="00273E6A">
      <w:pPr>
        <w:pStyle w:val="a3"/>
        <w:jc w:val="center"/>
        <w:rPr>
          <w:rFonts w:ascii="Times New Roman" w:hAnsi="Times New Roman" w:cs="Times New Roman"/>
          <w:b/>
          <w:sz w:val="27"/>
          <w:szCs w:val="27"/>
        </w:rPr>
      </w:pPr>
      <w:r>
        <w:rPr>
          <w:rFonts w:ascii="Times New Roman" w:hAnsi="Times New Roman" w:cs="Times New Roman"/>
          <w:b/>
          <w:sz w:val="27"/>
          <w:szCs w:val="27"/>
          <w:lang w:bidi="en-US"/>
        </w:rPr>
        <w:t>“</w:t>
      </w:r>
      <w:r w:rsidR="005546E2" w:rsidRPr="0074277F">
        <w:rPr>
          <w:rFonts w:ascii="Times New Roman" w:hAnsi="Times New Roman" w:cs="Times New Roman"/>
          <w:b/>
          <w:sz w:val="27"/>
          <w:szCs w:val="27"/>
          <w:lang w:bidi="en-US"/>
        </w:rPr>
        <w:t>On decisions made by the Issuer’s Board of Directors</w:t>
      </w:r>
      <w:r>
        <w:rPr>
          <w:rFonts w:ascii="Times New Roman" w:hAnsi="Times New Roman" w:cs="Times New Roman"/>
          <w:b/>
          <w:sz w:val="27"/>
          <w:szCs w:val="27"/>
          <w:lang w:bidi="en-US"/>
        </w:rPr>
        <w:t>”</w:t>
      </w:r>
    </w:p>
    <w:p w:rsidR="00773A71" w:rsidRPr="0074277F" w:rsidRDefault="00714127" w:rsidP="00273E6A">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(insider information disclosure)</w:t>
      </w:r>
    </w:p>
    <w:tbl>
      <w:tblPr>
        <w:tblStyle w:val="a4"/>
        <w:tblW w:w="9924" w:type="dxa"/>
        <w:tblInd w:w="-318" w:type="dxa"/>
        <w:tblLayout w:type="fixed"/>
        <w:tblLook w:val="04A0" w:firstRow="1" w:lastRow="0" w:firstColumn="1" w:lastColumn="0" w:noHBand="0" w:noVBand="1"/>
      </w:tblPr>
      <w:tblGrid>
        <w:gridCol w:w="4253"/>
        <w:gridCol w:w="5671"/>
      </w:tblGrid>
      <w:tr w:rsidR="0045226D" w:rsidRPr="0074277F" w:rsidTr="00BC4A00">
        <w:tc>
          <w:tcPr>
            <w:tcW w:w="9924" w:type="dxa"/>
            <w:gridSpan w:val="2"/>
          </w:tcPr>
          <w:p w:rsidR="0045226D" w:rsidRPr="0074277F" w:rsidRDefault="0045226D" w:rsidP="006A7084">
            <w:pPr>
              <w:pStyle w:val="a3"/>
              <w:numPr>
                <w:ilvl w:val="0"/>
                <w:numId w:val="1"/>
              </w:numPr>
              <w:jc w:val="center"/>
              <w:rPr>
                <w:rFonts w:ascii="Times New Roman" w:hAnsi="Times New Roman" w:cs="Times New Roman"/>
                <w:sz w:val="27"/>
                <w:szCs w:val="27"/>
              </w:rPr>
            </w:pPr>
            <w:r w:rsidRPr="0074277F">
              <w:rPr>
                <w:rFonts w:ascii="Times New Roman" w:hAnsi="Times New Roman" w:cs="Times New Roman"/>
                <w:sz w:val="27"/>
                <w:szCs w:val="27"/>
                <w:lang w:bidi="en-US"/>
              </w:rPr>
              <w:t>Background Information</w:t>
            </w:r>
          </w:p>
        </w:tc>
      </w:tr>
      <w:tr w:rsidR="0045226D" w:rsidRPr="0074277F" w:rsidTr="00BC4A00">
        <w:trPr>
          <w:trHeight w:val="599"/>
        </w:trPr>
        <w:tc>
          <w:tcPr>
            <w:tcW w:w="4253" w:type="dxa"/>
          </w:tcPr>
          <w:p w:rsidR="0045226D" w:rsidRPr="0074277F" w:rsidRDefault="0045226D" w:rsidP="00802AB4">
            <w:pPr>
              <w:pStyle w:val="a3"/>
              <w:rPr>
                <w:rFonts w:ascii="Times New Roman" w:hAnsi="Times New Roman" w:cs="Times New Roman"/>
                <w:b/>
                <w:sz w:val="27"/>
                <w:szCs w:val="27"/>
              </w:rPr>
            </w:pPr>
            <w:r w:rsidRPr="0074277F">
              <w:rPr>
                <w:rFonts w:ascii="Times New Roman" w:hAnsi="Times New Roman" w:cs="Times New Roman"/>
                <w:b/>
                <w:sz w:val="27"/>
                <w:szCs w:val="27"/>
                <w:lang w:bidi="en-US"/>
              </w:rPr>
              <w:t>1.1 Issuer’s full business name</w:t>
            </w:r>
          </w:p>
        </w:tc>
        <w:tc>
          <w:tcPr>
            <w:tcW w:w="5671" w:type="dxa"/>
          </w:tcPr>
          <w:p w:rsidR="0045226D" w:rsidRPr="0074277F" w:rsidRDefault="00ED2616" w:rsidP="006A7084">
            <w:pPr>
              <w:pStyle w:val="a3"/>
              <w:rPr>
                <w:rFonts w:ascii="Times New Roman" w:hAnsi="Times New Roman" w:cs="Times New Roman"/>
                <w:sz w:val="27"/>
                <w:szCs w:val="27"/>
              </w:rPr>
            </w:pPr>
            <w:r w:rsidRPr="0074277F">
              <w:rPr>
                <w:rFonts w:ascii="Times New Roman" w:hAnsi="Times New Roman" w:cs="Times New Roman"/>
                <w:sz w:val="27"/>
                <w:szCs w:val="27"/>
                <w:lang w:bidi="en-US"/>
              </w:rPr>
              <w:t xml:space="preserve">Kuban Public Joint Stock Company of Power Industry and Electrification </w:t>
            </w:r>
          </w:p>
        </w:tc>
      </w:tr>
      <w:tr w:rsidR="0045226D" w:rsidRPr="0074277F" w:rsidTr="00BC4A00">
        <w:tc>
          <w:tcPr>
            <w:tcW w:w="4253" w:type="dxa"/>
          </w:tcPr>
          <w:p w:rsidR="0045226D" w:rsidRPr="0074277F" w:rsidRDefault="0045226D" w:rsidP="00802AB4">
            <w:pPr>
              <w:pStyle w:val="a3"/>
              <w:rPr>
                <w:rFonts w:ascii="Times New Roman" w:hAnsi="Times New Roman" w:cs="Times New Roman"/>
                <w:b/>
                <w:sz w:val="27"/>
                <w:szCs w:val="27"/>
              </w:rPr>
            </w:pPr>
            <w:r w:rsidRPr="0074277F">
              <w:rPr>
                <w:rFonts w:ascii="Times New Roman" w:hAnsi="Times New Roman" w:cs="Times New Roman"/>
                <w:b/>
                <w:sz w:val="27"/>
                <w:szCs w:val="27"/>
                <w:lang w:bidi="en-US"/>
              </w:rPr>
              <w:t>1.2. Issuer's short business name</w:t>
            </w:r>
          </w:p>
        </w:tc>
        <w:tc>
          <w:tcPr>
            <w:tcW w:w="5671" w:type="dxa"/>
          </w:tcPr>
          <w:p w:rsidR="0045226D" w:rsidRPr="0074277F" w:rsidRDefault="00ED2616" w:rsidP="006A7084">
            <w:pPr>
              <w:pStyle w:val="a3"/>
              <w:rPr>
                <w:rFonts w:ascii="Times New Roman" w:hAnsi="Times New Roman" w:cs="Times New Roman"/>
                <w:sz w:val="27"/>
                <w:szCs w:val="27"/>
              </w:rPr>
            </w:pPr>
            <w:r w:rsidRPr="0074277F">
              <w:rPr>
                <w:rFonts w:ascii="Times New Roman" w:hAnsi="Times New Roman" w:cs="Times New Roman"/>
                <w:sz w:val="27"/>
                <w:szCs w:val="27"/>
                <w:lang w:bidi="en-US"/>
              </w:rPr>
              <w:t>Kubanenergo PJSC</w:t>
            </w:r>
          </w:p>
        </w:tc>
      </w:tr>
      <w:tr w:rsidR="0045226D" w:rsidRPr="0074277F" w:rsidTr="00BC4A00">
        <w:trPr>
          <w:trHeight w:val="412"/>
        </w:trPr>
        <w:tc>
          <w:tcPr>
            <w:tcW w:w="4253" w:type="dxa"/>
          </w:tcPr>
          <w:p w:rsidR="0045226D" w:rsidRPr="0074277F" w:rsidRDefault="0045226D" w:rsidP="00802AB4">
            <w:pPr>
              <w:pStyle w:val="a3"/>
              <w:rPr>
                <w:rFonts w:ascii="Times New Roman" w:hAnsi="Times New Roman" w:cs="Times New Roman"/>
                <w:b/>
                <w:sz w:val="27"/>
                <w:szCs w:val="27"/>
              </w:rPr>
            </w:pPr>
            <w:r w:rsidRPr="0074277F">
              <w:rPr>
                <w:rFonts w:ascii="Times New Roman" w:hAnsi="Times New Roman" w:cs="Times New Roman"/>
                <w:b/>
                <w:sz w:val="27"/>
                <w:szCs w:val="27"/>
                <w:lang w:bidi="en-US"/>
              </w:rPr>
              <w:t>1.3. Issuer’s location</w:t>
            </w:r>
          </w:p>
        </w:tc>
        <w:tc>
          <w:tcPr>
            <w:tcW w:w="5671" w:type="dxa"/>
          </w:tcPr>
          <w:p w:rsidR="0045226D" w:rsidRPr="0074277F" w:rsidRDefault="0045226D" w:rsidP="00293187">
            <w:pPr>
              <w:rPr>
                <w:sz w:val="27"/>
                <w:szCs w:val="27"/>
              </w:rPr>
            </w:pPr>
            <w:r w:rsidRPr="0074277F">
              <w:rPr>
                <w:sz w:val="27"/>
                <w:szCs w:val="27"/>
                <w:lang w:bidi="en-US"/>
              </w:rPr>
              <w:t>Russian Federation, Krasnodar</w:t>
            </w:r>
          </w:p>
        </w:tc>
      </w:tr>
      <w:tr w:rsidR="0045226D" w:rsidRPr="0074277F" w:rsidTr="00BC4A00">
        <w:tc>
          <w:tcPr>
            <w:tcW w:w="4253" w:type="dxa"/>
          </w:tcPr>
          <w:p w:rsidR="0045226D" w:rsidRPr="0074277F" w:rsidRDefault="0045226D" w:rsidP="00802AB4">
            <w:pPr>
              <w:pStyle w:val="a3"/>
              <w:rPr>
                <w:rFonts w:ascii="Times New Roman" w:hAnsi="Times New Roman" w:cs="Times New Roman"/>
                <w:b/>
                <w:sz w:val="27"/>
                <w:szCs w:val="27"/>
              </w:rPr>
            </w:pPr>
            <w:r w:rsidRPr="0074277F">
              <w:rPr>
                <w:rFonts w:ascii="Times New Roman" w:hAnsi="Times New Roman" w:cs="Times New Roman"/>
                <w:b/>
                <w:sz w:val="27"/>
                <w:szCs w:val="27"/>
                <w:lang w:bidi="en-US"/>
              </w:rPr>
              <w:t>1.4. Issuer’s OGRN (Primary State Registration Number)</w:t>
            </w:r>
          </w:p>
        </w:tc>
        <w:tc>
          <w:tcPr>
            <w:tcW w:w="5671" w:type="dxa"/>
          </w:tcPr>
          <w:p w:rsidR="0045226D" w:rsidRPr="0074277F" w:rsidRDefault="0045226D" w:rsidP="006A7084">
            <w:pPr>
              <w:pStyle w:val="a3"/>
              <w:rPr>
                <w:rFonts w:ascii="Times New Roman" w:hAnsi="Times New Roman" w:cs="Times New Roman"/>
                <w:sz w:val="27"/>
                <w:szCs w:val="27"/>
              </w:rPr>
            </w:pPr>
            <w:r w:rsidRPr="0074277F">
              <w:rPr>
                <w:rFonts w:ascii="Times New Roman" w:hAnsi="Times New Roman" w:cs="Times New Roman"/>
                <w:sz w:val="27"/>
                <w:szCs w:val="27"/>
                <w:lang w:bidi="en-US"/>
              </w:rPr>
              <w:t>1022301427268</w:t>
            </w:r>
          </w:p>
        </w:tc>
      </w:tr>
      <w:tr w:rsidR="0045226D" w:rsidRPr="0074277F" w:rsidTr="00BC4A00">
        <w:tc>
          <w:tcPr>
            <w:tcW w:w="4253" w:type="dxa"/>
          </w:tcPr>
          <w:p w:rsidR="0045226D" w:rsidRPr="0074277F" w:rsidRDefault="0045226D" w:rsidP="00802AB4">
            <w:pPr>
              <w:pStyle w:val="a3"/>
              <w:rPr>
                <w:rFonts w:ascii="Times New Roman" w:hAnsi="Times New Roman" w:cs="Times New Roman"/>
                <w:b/>
                <w:sz w:val="27"/>
                <w:szCs w:val="27"/>
              </w:rPr>
            </w:pPr>
            <w:r w:rsidRPr="0074277F">
              <w:rPr>
                <w:rFonts w:ascii="Times New Roman" w:hAnsi="Times New Roman" w:cs="Times New Roman"/>
                <w:b/>
                <w:sz w:val="27"/>
                <w:szCs w:val="27"/>
                <w:lang w:bidi="en-US"/>
              </w:rPr>
              <w:t>1.5. Issuer’s INN (Taxpayer Identification Number)</w:t>
            </w:r>
          </w:p>
        </w:tc>
        <w:tc>
          <w:tcPr>
            <w:tcW w:w="5671" w:type="dxa"/>
          </w:tcPr>
          <w:p w:rsidR="0045226D" w:rsidRPr="0074277F" w:rsidRDefault="0045226D" w:rsidP="006A7084">
            <w:pPr>
              <w:pStyle w:val="a3"/>
              <w:rPr>
                <w:rFonts w:ascii="Times New Roman" w:hAnsi="Times New Roman" w:cs="Times New Roman"/>
                <w:sz w:val="27"/>
                <w:szCs w:val="27"/>
              </w:rPr>
            </w:pPr>
            <w:r w:rsidRPr="0074277F">
              <w:rPr>
                <w:rFonts w:ascii="Times New Roman" w:hAnsi="Times New Roman" w:cs="Times New Roman"/>
                <w:sz w:val="27"/>
                <w:szCs w:val="27"/>
                <w:lang w:bidi="en-US"/>
              </w:rPr>
              <w:t>2309001660</w:t>
            </w:r>
          </w:p>
        </w:tc>
      </w:tr>
      <w:tr w:rsidR="0045226D" w:rsidRPr="0074277F" w:rsidTr="00BC4A00">
        <w:tc>
          <w:tcPr>
            <w:tcW w:w="4253" w:type="dxa"/>
          </w:tcPr>
          <w:p w:rsidR="0045226D" w:rsidRPr="0074277F" w:rsidRDefault="0045226D" w:rsidP="00802AB4">
            <w:pPr>
              <w:pStyle w:val="a3"/>
              <w:rPr>
                <w:rFonts w:ascii="Times New Roman" w:hAnsi="Times New Roman" w:cs="Times New Roman"/>
                <w:b/>
                <w:sz w:val="27"/>
                <w:szCs w:val="27"/>
              </w:rPr>
            </w:pPr>
            <w:r w:rsidRPr="0074277F">
              <w:rPr>
                <w:rFonts w:ascii="Times New Roman" w:hAnsi="Times New Roman" w:cs="Times New Roman"/>
                <w:b/>
                <w:sz w:val="27"/>
                <w:szCs w:val="27"/>
                <w:lang w:bidi="en-US"/>
              </w:rPr>
              <w:t>1.6. Issuer's unique code assigned by the registering body</w:t>
            </w:r>
          </w:p>
        </w:tc>
        <w:tc>
          <w:tcPr>
            <w:tcW w:w="5671" w:type="dxa"/>
          </w:tcPr>
          <w:p w:rsidR="0045226D" w:rsidRPr="0074277F" w:rsidRDefault="0045226D" w:rsidP="006A7084">
            <w:pPr>
              <w:pStyle w:val="a3"/>
              <w:tabs>
                <w:tab w:val="left" w:pos="1930"/>
              </w:tabs>
              <w:rPr>
                <w:rFonts w:ascii="Times New Roman" w:hAnsi="Times New Roman" w:cs="Times New Roman"/>
                <w:sz w:val="27"/>
                <w:szCs w:val="27"/>
              </w:rPr>
            </w:pPr>
            <w:r w:rsidRPr="0074277F">
              <w:rPr>
                <w:rFonts w:ascii="Times New Roman" w:hAnsi="Times New Roman" w:cs="Times New Roman"/>
                <w:sz w:val="27"/>
                <w:szCs w:val="27"/>
                <w:lang w:bidi="en-US"/>
              </w:rPr>
              <w:t>00063-А</w:t>
            </w:r>
          </w:p>
        </w:tc>
      </w:tr>
      <w:tr w:rsidR="0045226D" w:rsidRPr="0074277F" w:rsidTr="00BC4A00">
        <w:tc>
          <w:tcPr>
            <w:tcW w:w="4253" w:type="dxa"/>
          </w:tcPr>
          <w:p w:rsidR="0045226D" w:rsidRPr="0074277F" w:rsidRDefault="0045226D" w:rsidP="00802AB4">
            <w:pPr>
              <w:pStyle w:val="a3"/>
              <w:rPr>
                <w:rFonts w:ascii="Times New Roman" w:hAnsi="Times New Roman" w:cs="Times New Roman"/>
                <w:b/>
                <w:sz w:val="27"/>
                <w:szCs w:val="27"/>
              </w:rPr>
            </w:pPr>
            <w:r w:rsidRPr="0074277F">
              <w:rPr>
                <w:rFonts w:ascii="Times New Roman" w:hAnsi="Times New Roman" w:cs="Times New Roman"/>
                <w:b/>
                <w:sz w:val="27"/>
                <w:szCs w:val="27"/>
                <w:lang w:bidi="en-US"/>
              </w:rPr>
              <w:t>1.7. Internet web page used by the Issuer to disclose information</w:t>
            </w:r>
          </w:p>
        </w:tc>
        <w:tc>
          <w:tcPr>
            <w:tcW w:w="5671" w:type="dxa"/>
          </w:tcPr>
          <w:p w:rsidR="00415885" w:rsidRPr="0074277F" w:rsidRDefault="00415885" w:rsidP="006A7084">
            <w:pPr>
              <w:rPr>
                <w:sz w:val="27"/>
                <w:szCs w:val="27"/>
              </w:rPr>
            </w:pPr>
            <w:r w:rsidRPr="0074277F">
              <w:rPr>
                <w:sz w:val="27"/>
                <w:szCs w:val="27"/>
                <w:lang w:bidi="en-US"/>
              </w:rPr>
              <w:t>http://</w:t>
            </w:r>
            <w:hyperlink r:id="rId8" w:history="1">
              <w:r w:rsidRPr="0074277F">
                <w:rPr>
                  <w:sz w:val="27"/>
                  <w:szCs w:val="27"/>
                  <w:lang w:bidi="en-US"/>
                </w:rPr>
                <w:t>www.kubanenergo.ru</w:t>
              </w:r>
            </w:hyperlink>
            <w:r w:rsidR="008A09C9">
              <w:rPr>
                <w:sz w:val="27"/>
                <w:szCs w:val="27"/>
                <w:lang w:bidi="en-US"/>
              </w:rPr>
              <w:t xml:space="preserve"> </w:t>
            </w:r>
          </w:p>
          <w:p w:rsidR="00415885" w:rsidRPr="0074277F" w:rsidRDefault="008A09C9" w:rsidP="006A7084">
            <w:pPr>
              <w:pStyle w:val="a3"/>
              <w:rPr>
                <w:rFonts w:ascii="Times New Roman" w:hAnsi="Times New Roman" w:cs="Times New Roman"/>
                <w:sz w:val="27"/>
                <w:szCs w:val="27"/>
              </w:rPr>
            </w:pPr>
            <w:hyperlink r:id="rId9" w:history="1">
              <w:r w:rsidR="00BA33B5" w:rsidRPr="0074277F">
                <w:rPr>
                  <w:rStyle w:val="af3"/>
                  <w:rFonts w:ascii="Times New Roman" w:hAnsi="Times New Roman" w:cs="Times New Roman"/>
                  <w:sz w:val="27"/>
                  <w:szCs w:val="27"/>
                  <w:lang w:bidi="en-US"/>
                </w:rPr>
                <w:t>http://www.e-disclosure.ru/portal/company.aspx?id=2827</w:t>
              </w:r>
            </w:hyperlink>
            <w:r w:rsidR="00BA33B5" w:rsidRPr="0074277F">
              <w:rPr>
                <w:rFonts w:ascii="Times New Roman" w:hAnsi="Times New Roman" w:cs="Times New Roman"/>
                <w:sz w:val="27"/>
                <w:szCs w:val="27"/>
                <w:lang w:bidi="en-US"/>
              </w:rPr>
              <w:t xml:space="preserve"> </w:t>
            </w:r>
          </w:p>
          <w:p w:rsidR="00415885" w:rsidRPr="0074277F" w:rsidRDefault="00415885" w:rsidP="006A7084">
            <w:pPr>
              <w:pStyle w:val="a3"/>
              <w:rPr>
                <w:rFonts w:ascii="Times New Roman" w:hAnsi="Times New Roman" w:cs="Times New Roman"/>
                <w:sz w:val="27"/>
                <w:szCs w:val="27"/>
              </w:rPr>
            </w:pPr>
          </w:p>
        </w:tc>
      </w:tr>
      <w:tr w:rsidR="00C02B3B" w:rsidRPr="0074277F" w:rsidTr="00BC4A00">
        <w:tc>
          <w:tcPr>
            <w:tcW w:w="4253" w:type="dxa"/>
          </w:tcPr>
          <w:p w:rsidR="00C02B3B" w:rsidRPr="0074277F" w:rsidRDefault="00C02B3B" w:rsidP="00802AB4">
            <w:pPr>
              <w:pStyle w:val="a3"/>
              <w:rPr>
                <w:rFonts w:ascii="Times New Roman" w:hAnsi="Times New Roman" w:cs="Times New Roman"/>
                <w:b/>
                <w:sz w:val="27"/>
                <w:szCs w:val="27"/>
              </w:rPr>
            </w:pPr>
            <w:r w:rsidRPr="0074277F">
              <w:rPr>
                <w:rFonts w:ascii="Times New Roman" w:hAnsi="Times New Roman" w:cs="Times New Roman"/>
                <w:b/>
                <w:sz w:val="27"/>
                <w:szCs w:val="27"/>
                <w:lang w:bidi="en-US"/>
              </w:rPr>
              <w:t>1.8. Date of the event (corporate action) specified in the notice (where applicable)</w:t>
            </w:r>
          </w:p>
        </w:tc>
        <w:tc>
          <w:tcPr>
            <w:tcW w:w="5671" w:type="dxa"/>
          </w:tcPr>
          <w:p w:rsidR="00C02B3B" w:rsidRPr="0074277F" w:rsidRDefault="00BC4A00" w:rsidP="000A1166">
            <w:pPr>
              <w:rPr>
                <w:sz w:val="27"/>
                <w:szCs w:val="27"/>
              </w:rPr>
            </w:pPr>
            <w:r w:rsidRPr="0074277F">
              <w:rPr>
                <w:sz w:val="27"/>
                <w:szCs w:val="27"/>
                <w:lang w:bidi="en-US"/>
              </w:rPr>
              <w:t>15.11.2019</w:t>
            </w:r>
          </w:p>
        </w:tc>
      </w:tr>
      <w:tr w:rsidR="00E57436" w:rsidRPr="0074277F" w:rsidTr="00BC4A00">
        <w:tc>
          <w:tcPr>
            <w:tcW w:w="9924" w:type="dxa"/>
            <w:gridSpan w:val="2"/>
          </w:tcPr>
          <w:p w:rsidR="00E57436" w:rsidRPr="0074277F" w:rsidRDefault="00E57436" w:rsidP="006A7084">
            <w:pPr>
              <w:jc w:val="center"/>
              <w:rPr>
                <w:sz w:val="27"/>
                <w:szCs w:val="27"/>
              </w:rPr>
            </w:pPr>
            <w:r w:rsidRPr="0074277F">
              <w:rPr>
                <w:sz w:val="27"/>
                <w:szCs w:val="27"/>
                <w:lang w:bidi="en-US"/>
              </w:rPr>
              <w:t>2. Notice contents</w:t>
            </w:r>
          </w:p>
        </w:tc>
      </w:tr>
      <w:tr w:rsidR="004D0A6C" w:rsidRPr="0074277F" w:rsidTr="006D7BF2">
        <w:trPr>
          <w:trHeight w:val="3857"/>
        </w:trPr>
        <w:tc>
          <w:tcPr>
            <w:tcW w:w="9924" w:type="dxa"/>
            <w:gridSpan w:val="2"/>
          </w:tcPr>
          <w:p w:rsidR="007E1E11" w:rsidRPr="0074277F" w:rsidRDefault="004D0A6C" w:rsidP="006A7084">
            <w:pPr>
              <w:pStyle w:val="a3"/>
              <w:jc w:val="both"/>
              <w:rPr>
                <w:rFonts w:ascii="Times New Roman" w:hAnsi="Times New Roman" w:cs="Times New Roman"/>
                <w:sz w:val="27"/>
                <w:szCs w:val="27"/>
              </w:rPr>
            </w:pPr>
            <w:r w:rsidRPr="0074277F">
              <w:rPr>
                <w:rFonts w:ascii="Times New Roman" w:hAnsi="Times New Roman" w:cs="Times New Roman"/>
                <w:sz w:val="27"/>
                <w:szCs w:val="27"/>
                <w:lang w:bidi="en-US"/>
              </w:rPr>
              <w:t xml:space="preserve">2.1 Quorum for the Meeting of the Issuer’s Board of Directors and results of the voting on decision-making issues: </w:t>
            </w:r>
          </w:p>
          <w:p w:rsidR="004D0A6C" w:rsidRPr="0074277F" w:rsidRDefault="004D0A6C" w:rsidP="006A7084">
            <w:pPr>
              <w:pStyle w:val="a3"/>
              <w:jc w:val="both"/>
              <w:rPr>
                <w:rFonts w:ascii="Times New Roman" w:hAnsi="Times New Roman" w:cs="Times New Roman"/>
                <w:b/>
                <w:i/>
                <w:sz w:val="27"/>
                <w:szCs w:val="27"/>
              </w:rPr>
            </w:pPr>
            <w:r w:rsidRPr="0074277F">
              <w:rPr>
                <w:rFonts w:ascii="Times New Roman" w:hAnsi="Times New Roman" w:cs="Times New Roman"/>
                <w:b/>
                <w:i/>
                <w:sz w:val="27"/>
                <w:szCs w:val="27"/>
                <w:lang w:bidi="en-US"/>
              </w:rPr>
              <w:t>Number of members of the Board of Directors: 11 persons.</w:t>
            </w:r>
          </w:p>
          <w:p w:rsidR="004D0A6C" w:rsidRPr="0074277F" w:rsidRDefault="004D0A6C" w:rsidP="006A7084">
            <w:pPr>
              <w:pStyle w:val="a3"/>
              <w:jc w:val="both"/>
              <w:rPr>
                <w:rFonts w:ascii="Times New Roman" w:hAnsi="Times New Roman" w:cs="Times New Roman"/>
                <w:b/>
                <w:i/>
                <w:sz w:val="27"/>
                <w:szCs w:val="27"/>
              </w:rPr>
            </w:pPr>
            <w:r w:rsidRPr="0074277F">
              <w:rPr>
                <w:rFonts w:ascii="Times New Roman" w:hAnsi="Times New Roman" w:cs="Times New Roman"/>
                <w:b/>
                <w:i/>
                <w:sz w:val="27"/>
                <w:szCs w:val="27"/>
                <w:lang w:bidi="en-US"/>
              </w:rPr>
              <w:t xml:space="preserve">Number of participants in the meeting: 11 persons. </w:t>
            </w:r>
          </w:p>
          <w:p w:rsidR="004D0A6C" w:rsidRPr="0074277F" w:rsidRDefault="004D0A6C" w:rsidP="006A7084">
            <w:pPr>
              <w:pStyle w:val="a3"/>
              <w:jc w:val="both"/>
              <w:rPr>
                <w:rFonts w:ascii="Times New Roman" w:hAnsi="Times New Roman" w:cs="Times New Roman"/>
                <w:b/>
                <w:i/>
                <w:sz w:val="27"/>
                <w:szCs w:val="27"/>
              </w:rPr>
            </w:pPr>
            <w:r w:rsidRPr="0074277F">
              <w:rPr>
                <w:rFonts w:ascii="Times New Roman" w:hAnsi="Times New Roman" w:cs="Times New Roman"/>
                <w:b/>
                <w:i/>
                <w:sz w:val="27"/>
                <w:szCs w:val="27"/>
                <w:lang w:bidi="en-US"/>
              </w:rPr>
              <w:t>The quorum for the Meeting of Kubanenergo’s Board of Directors is reached.</w:t>
            </w:r>
          </w:p>
          <w:p w:rsidR="007E1E11" w:rsidRPr="0074277F" w:rsidRDefault="004D0A6C" w:rsidP="006A7084">
            <w:pPr>
              <w:pStyle w:val="a3"/>
              <w:jc w:val="center"/>
              <w:rPr>
                <w:rFonts w:ascii="Times New Roman" w:hAnsi="Times New Roman" w:cs="Times New Roman"/>
                <w:b/>
                <w:i/>
                <w:sz w:val="27"/>
                <w:szCs w:val="27"/>
              </w:rPr>
            </w:pPr>
            <w:r w:rsidRPr="0074277F">
              <w:rPr>
                <w:rFonts w:ascii="Times New Roman" w:hAnsi="Times New Roman" w:cs="Times New Roman"/>
                <w:b/>
                <w:i/>
                <w:sz w:val="27"/>
                <w:szCs w:val="27"/>
                <w:lang w:bidi="en-US"/>
              </w:rPr>
              <w:t>Voting results:</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7E1E11" w:rsidRPr="0074277F" w:rsidTr="00B04F9A">
              <w:trPr>
                <w:jc w:val="center"/>
              </w:trPr>
              <w:tc>
                <w:tcPr>
                  <w:tcW w:w="1339" w:type="dxa"/>
                  <w:vMerge w:val="restart"/>
                </w:tcPr>
                <w:p w:rsidR="007E1E11" w:rsidRPr="0074277F" w:rsidRDefault="007E1E11" w:rsidP="006A7084">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Issue No.</w:t>
                  </w:r>
                </w:p>
              </w:tc>
              <w:tc>
                <w:tcPr>
                  <w:tcW w:w="6298" w:type="dxa"/>
                  <w:gridSpan w:val="3"/>
                </w:tcPr>
                <w:p w:rsidR="007E1E11" w:rsidRPr="0074277F" w:rsidRDefault="007E1E11" w:rsidP="006A7084">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Number of votes</w:t>
                  </w:r>
                </w:p>
              </w:tc>
            </w:tr>
            <w:tr w:rsidR="007E1E11" w:rsidRPr="0074277F" w:rsidTr="00B04F9A">
              <w:trPr>
                <w:jc w:val="center"/>
              </w:trPr>
              <w:tc>
                <w:tcPr>
                  <w:tcW w:w="1339" w:type="dxa"/>
                  <w:vMerge/>
                </w:tcPr>
                <w:p w:rsidR="007E1E11" w:rsidRPr="0074277F" w:rsidRDefault="007E1E11" w:rsidP="006A7084">
                  <w:pPr>
                    <w:pStyle w:val="a3"/>
                    <w:jc w:val="center"/>
                    <w:rPr>
                      <w:rFonts w:ascii="Times New Roman" w:hAnsi="Times New Roman" w:cs="Times New Roman"/>
                      <w:b/>
                      <w:sz w:val="27"/>
                      <w:szCs w:val="27"/>
                    </w:rPr>
                  </w:pPr>
                </w:p>
              </w:tc>
              <w:tc>
                <w:tcPr>
                  <w:tcW w:w="1633" w:type="dxa"/>
                </w:tcPr>
                <w:p w:rsidR="007E1E11" w:rsidRPr="0074277F" w:rsidRDefault="007E1E11" w:rsidP="006A7084">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“FOR”</w:t>
                  </w:r>
                </w:p>
              </w:tc>
              <w:tc>
                <w:tcPr>
                  <w:tcW w:w="1985" w:type="dxa"/>
                </w:tcPr>
                <w:p w:rsidR="007E1E11" w:rsidRPr="0074277F" w:rsidRDefault="007E1E11" w:rsidP="006A7084">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“AGAINST”</w:t>
                  </w:r>
                </w:p>
              </w:tc>
              <w:tc>
                <w:tcPr>
                  <w:tcW w:w="2680" w:type="dxa"/>
                </w:tcPr>
                <w:p w:rsidR="007E1E11" w:rsidRPr="0074277F" w:rsidRDefault="007E1E11" w:rsidP="006A7084">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“ABSTAINED”</w:t>
                  </w:r>
                </w:p>
              </w:tc>
            </w:tr>
            <w:tr w:rsidR="007E1E11" w:rsidRPr="0074277F" w:rsidTr="00B04F9A">
              <w:trPr>
                <w:jc w:val="center"/>
              </w:trPr>
              <w:tc>
                <w:tcPr>
                  <w:tcW w:w="1339" w:type="dxa"/>
                </w:tcPr>
                <w:p w:rsidR="007E1E11" w:rsidRPr="0074277F" w:rsidRDefault="00C10CBB" w:rsidP="006A7084">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1</w:t>
                  </w:r>
                </w:p>
              </w:tc>
              <w:tc>
                <w:tcPr>
                  <w:tcW w:w="1633" w:type="dxa"/>
                </w:tcPr>
                <w:p w:rsidR="007E1E11" w:rsidRPr="0074277F" w:rsidRDefault="00411DDA" w:rsidP="002E2C8F">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11</w:t>
                  </w:r>
                </w:p>
              </w:tc>
              <w:tc>
                <w:tcPr>
                  <w:tcW w:w="1985" w:type="dxa"/>
                </w:tcPr>
                <w:p w:rsidR="007E1E11" w:rsidRPr="0074277F" w:rsidRDefault="007E1E11" w:rsidP="006A7084">
                  <w:pPr>
                    <w:pStyle w:val="a3"/>
                    <w:jc w:val="center"/>
                    <w:rPr>
                      <w:rFonts w:ascii="Times New Roman" w:hAnsi="Times New Roman" w:cs="Times New Roman"/>
                      <w:b/>
                      <w:sz w:val="27"/>
                      <w:szCs w:val="27"/>
                    </w:rPr>
                  </w:pPr>
                </w:p>
              </w:tc>
              <w:tc>
                <w:tcPr>
                  <w:tcW w:w="2680" w:type="dxa"/>
                </w:tcPr>
                <w:p w:rsidR="007E1E11" w:rsidRPr="0074277F" w:rsidRDefault="007E1E11" w:rsidP="006A7084">
                  <w:pPr>
                    <w:pStyle w:val="a3"/>
                    <w:jc w:val="center"/>
                    <w:rPr>
                      <w:rFonts w:ascii="Times New Roman" w:hAnsi="Times New Roman" w:cs="Times New Roman"/>
                      <w:b/>
                      <w:sz w:val="27"/>
                      <w:szCs w:val="27"/>
                    </w:rPr>
                  </w:pPr>
                </w:p>
              </w:tc>
            </w:tr>
            <w:tr w:rsidR="00BC4A00" w:rsidRPr="0074277F" w:rsidTr="00B04F9A">
              <w:trPr>
                <w:jc w:val="center"/>
              </w:trPr>
              <w:tc>
                <w:tcPr>
                  <w:tcW w:w="1339" w:type="dxa"/>
                </w:tcPr>
                <w:p w:rsidR="00BC4A00" w:rsidRPr="0074277F" w:rsidRDefault="00BC4A00" w:rsidP="006A7084">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2</w:t>
                  </w:r>
                </w:p>
              </w:tc>
              <w:tc>
                <w:tcPr>
                  <w:tcW w:w="1633" w:type="dxa"/>
                </w:tcPr>
                <w:p w:rsidR="00BC4A00" w:rsidRPr="0074277F" w:rsidRDefault="00BC4A00" w:rsidP="002E2C8F">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11</w:t>
                  </w:r>
                </w:p>
              </w:tc>
              <w:tc>
                <w:tcPr>
                  <w:tcW w:w="1985" w:type="dxa"/>
                </w:tcPr>
                <w:p w:rsidR="00BC4A00" w:rsidRPr="0074277F" w:rsidRDefault="00BC4A00" w:rsidP="006A7084">
                  <w:pPr>
                    <w:pStyle w:val="a3"/>
                    <w:jc w:val="center"/>
                    <w:rPr>
                      <w:rFonts w:ascii="Times New Roman" w:hAnsi="Times New Roman" w:cs="Times New Roman"/>
                      <w:b/>
                      <w:sz w:val="27"/>
                      <w:szCs w:val="27"/>
                    </w:rPr>
                  </w:pPr>
                </w:p>
              </w:tc>
              <w:tc>
                <w:tcPr>
                  <w:tcW w:w="2680" w:type="dxa"/>
                </w:tcPr>
                <w:p w:rsidR="00BC4A00" w:rsidRPr="0074277F" w:rsidRDefault="00BC4A00" w:rsidP="006A7084">
                  <w:pPr>
                    <w:pStyle w:val="a3"/>
                    <w:jc w:val="center"/>
                    <w:rPr>
                      <w:rFonts w:ascii="Times New Roman" w:hAnsi="Times New Roman" w:cs="Times New Roman"/>
                      <w:b/>
                      <w:sz w:val="27"/>
                      <w:szCs w:val="27"/>
                    </w:rPr>
                  </w:pPr>
                </w:p>
              </w:tc>
            </w:tr>
            <w:tr w:rsidR="00BC4A00" w:rsidRPr="0074277F" w:rsidTr="00B04F9A">
              <w:trPr>
                <w:jc w:val="center"/>
              </w:trPr>
              <w:tc>
                <w:tcPr>
                  <w:tcW w:w="1339" w:type="dxa"/>
                </w:tcPr>
                <w:p w:rsidR="00BC4A00" w:rsidRPr="0074277F" w:rsidRDefault="00BC4A00" w:rsidP="006A7084">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3</w:t>
                  </w:r>
                </w:p>
              </w:tc>
              <w:tc>
                <w:tcPr>
                  <w:tcW w:w="1633" w:type="dxa"/>
                </w:tcPr>
                <w:p w:rsidR="00BC4A00" w:rsidRPr="0074277F" w:rsidRDefault="00BC4A00" w:rsidP="002E2C8F">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11</w:t>
                  </w:r>
                </w:p>
              </w:tc>
              <w:tc>
                <w:tcPr>
                  <w:tcW w:w="1985" w:type="dxa"/>
                </w:tcPr>
                <w:p w:rsidR="00BC4A00" w:rsidRPr="0074277F" w:rsidRDefault="00BC4A00" w:rsidP="006A7084">
                  <w:pPr>
                    <w:pStyle w:val="a3"/>
                    <w:jc w:val="center"/>
                    <w:rPr>
                      <w:rFonts w:ascii="Times New Roman" w:hAnsi="Times New Roman" w:cs="Times New Roman"/>
                      <w:b/>
                      <w:sz w:val="27"/>
                      <w:szCs w:val="27"/>
                    </w:rPr>
                  </w:pPr>
                </w:p>
              </w:tc>
              <w:tc>
                <w:tcPr>
                  <w:tcW w:w="2680" w:type="dxa"/>
                </w:tcPr>
                <w:p w:rsidR="00BC4A00" w:rsidRPr="0074277F" w:rsidRDefault="00BC4A00" w:rsidP="006A7084">
                  <w:pPr>
                    <w:pStyle w:val="a3"/>
                    <w:jc w:val="center"/>
                    <w:rPr>
                      <w:rFonts w:ascii="Times New Roman" w:hAnsi="Times New Roman" w:cs="Times New Roman"/>
                      <w:b/>
                      <w:sz w:val="27"/>
                      <w:szCs w:val="27"/>
                    </w:rPr>
                  </w:pPr>
                </w:p>
              </w:tc>
            </w:tr>
          </w:tbl>
          <w:p w:rsidR="004D0A6C" w:rsidRPr="0074277F" w:rsidRDefault="004D0A6C" w:rsidP="001C064D">
            <w:pPr>
              <w:pStyle w:val="a3"/>
              <w:jc w:val="both"/>
              <w:rPr>
                <w:rFonts w:ascii="Times New Roman" w:hAnsi="Times New Roman" w:cs="Times New Roman"/>
                <w:sz w:val="27"/>
                <w:szCs w:val="27"/>
              </w:rPr>
            </w:pPr>
          </w:p>
        </w:tc>
      </w:tr>
      <w:tr w:rsidR="004D0A6C" w:rsidRPr="0074277F" w:rsidTr="00BC4A00">
        <w:tc>
          <w:tcPr>
            <w:tcW w:w="9924" w:type="dxa"/>
            <w:gridSpan w:val="2"/>
          </w:tcPr>
          <w:p w:rsidR="004D0A6C" w:rsidRPr="0074277F" w:rsidRDefault="004D0A6C" w:rsidP="00290EAF">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Insider information disclosure</w:t>
            </w:r>
          </w:p>
          <w:p w:rsidR="004D0A6C" w:rsidRPr="0074277F" w:rsidRDefault="00212EFE" w:rsidP="002D2F31">
            <w:pPr>
              <w:jc w:val="both"/>
              <w:rPr>
                <w:sz w:val="27"/>
                <w:szCs w:val="27"/>
              </w:rPr>
            </w:pPr>
            <w:r w:rsidRPr="0074277F">
              <w:rPr>
                <w:b/>
                <w:sz w:val="27"/>
                <w:szCs w:val="27"/>
                <w:lang w:bidi="en-US"/>
              </w:rPr>
              <w:t>On issue No</w:t>
            </w:r>
            <w:r w:rsidR="008A09C9">
              <w:rPr>
                <w:b/>
                <w:sz w:val="27"/>
                <w:szCs w:val="27"/>
                <w:lang w:bidi="en-US"/>
              </w:rPr>
              <w:t xml:space="preserve">. </w:t>
            </w:r>
            <w:r w:rsidRPr="0074277F">
              <w:rPr>
                <w:b/>
                <w:sz w:val="27"/>
                <w:szCs w:val="27"/>
                <w:lang w:bidi="en-US"/>
              </w:rPr>
              <w:t xml:space="preserve">1 </w:t>
            </w:r>
            <w:r w:rsidRPr="008A09C9">
              <w:rPr>
                <w:b/>
                <w:i/>
                <w:sz w:val="27"/>
                <w:szCs w:val="27"/>
                <w:lang w:bidi="en-US"/>
              </w:rPr>
              <w:t>“</w:t>
            </w:r>
            <w:r w:rsidRPr="0074277F">
              <w:rPr>
                <w:b/>
                <w:i/>
                <w:sz w:val="27"/>
                <w:szCs w:val="27"/>
                <w:lang w:bidi="en-US"/>
              </w:rPr>
              <w:t>On revision of the report on the results of implementation of Kubanenergo PJSC business plan for H1 2019”.</w:t>
            </w:r>
          </w:p>
        </w:tc>
      </w:tr>
      <w:tr w:rsidR="00471361" w:rsidRPr="0074277F" w:rsidTr="00BC4A00">
        <w:trPr>
          <w:trHeight w:val="848"/>
        </w:trPr>
        <w:tc>
          <w:tcPr>
            <w:tcW w:w="9924" w:type="dxa"/>
            <w:gridSpan w:val="2"/>
          </w:tcPr>
          <w:p w:rsidR="00471361" w:rsidRPr="0074277F" w:rsidRDefault="00471361" w:rsidP="00AA7EC8">
            <w:pPr>
              <w:pStyle w:val="a3"/>
              <w:jc w:val="both"/>
              <w:rPr>
                <w:rFonts w:ascii="Times New Roman" w:hAnsi="Times New Roman" w:cs="Times New Roman"/>
                <w:sz w:val="27"/>
                <w:szCs w:val="27"/>
              </w:rPr>
            </w:pPr>
            <w:r w:rsidRPr="0074277F">
              <w:rPr>
                <w:rFonts w:ascii="Times New Roman" w:hAnsi="Times New Roman" w:cs="Times New Roman"/>
                <w:sz w:val="27"/>
                <w:szCs w:val="27"/>
                <w:lang w:bidi="en-US"/>
              </w:rPr>
              <w:t>2.2.1. Contents of the decisions taken by the Issuer’s Board of Directors:</w:t>
            </w:r>
          </w:p>
          <w:p w:rsidR="00BC4A00" w:rsidRPr="0074277F" w:rsidRDefault="00BC4A00" w:rsidP="00C71FA5">
            <w:pPr>
              <w:widowControl w:val="0"/>
              <w:tabs>
                <w:tab w:val="left" w:pos="540"/>
                <w:tab w:val="left" w:pos="1134"/>
              </w:tabs>
              <w:ind w:right="-2" w:firstLine="602"/>
              <w:jc w:val="both"/>
              <w:rPr>
                <w:i/>
                <w:sz w:val="27"/>
                <w:szCs w:val="27"/>
              </w:rPr>
            </w:pPr>
            <w:r w:rsidRPr="0074277F">
              <w:rPr>
                <w:i/>
                <w:sz w:val="27"/>
                <w:szCs w:val="27"/>
                <w:lang w:bidi="en-US"/>
              </w:rPr>
              <w:t>1.</w:t>
            </w:r>
            <w:r w:rsidRPr="0074277F">
              <w:rPr>
                <w:i/>
                <w:sz w:val="27"/>
                <w:szCs w:val="27"/>
                <w:lang w:bidi="en-US"/>
              </w:rPr>
              <w:tab/>
              <w:t>Take under advisement the report on execution of the business plan</w:t>
            </w:r>
            <w:r w:rsidR="008A09C9">
              <w:rPr>
                <w:i/>
                <w:sz w:val="27"/>
                <w:szCs w:val="27"/>
                <w:lang w:bidi="en-US"/>
              </w:rPr>
              <w:t xml:space="preserve"> </w:t>
            </w:r>
            <w:r w:rsidRPr="0074277F">
              <w:rPr>
                <w:i/>
                <w:sz w:val="27"/>
                <w:szCs w:val="27"/>
                <w:lang w:bidi="en-US"/>
              </w:rPr>
              <w:t xml:space="preserve">of Kubanenergo PJSC for H1 2019 in accordance with Appendix </w:t>
            </w:r>
            <w:r w:rsidRPr="0074277F">
              <w:rPr>
                <w:i/>
                <w:sz w:val="27"/>
                <w:szCs w:val="27"/>
                <w:lang w:bidi="en-US"/>
              </w:rPr>
              <w:br/>
              <w:t>No 1 to this resolution of the Company’s Board of Directors.</w:t>
            </w:r>
          </w:p>
          <w:p w:rsidR="00BC4A00" w:rsidRPr="0074277F" w:rsidRDefault="00BC4A00" w:rsidP="00C71FA5">
            <w:pPr>
              <w:widowControl w:val="0"/>
              <w:tabs>
                <w:tab w:val="left" w:pos="540"/>
                <w:tab w:val="left" w:pos="1134"/>
              </w:tabs>
              <w:ind w:right="-2" w:firstLine="602"/>
              <w:jc w:val="both"/>
              <w:rPr>
                <w:i/>
                <w:sz w:val="27"/>
                <w:szCs w:val="27"/>
              </w:rPr>
            </w:pPr>
            <w:r w:rsidRPr="0074277F">
              <w:rPr>
                <w:i/>
                <w:sz w:val="27"/>
                <w:szCs w:val="27"/>
                <w:lang w:bidi="en-US"/>
              </w:rPr>
              <w:t>2.</w:t>
            </w:r>
            <w:r w:rsidRPr="0074277F">
              <w:rPr>
                <w:i/>
                <w:sz w:val="27"/>
                <w:szCs w:val="27"/>
                <w:lang w:bidi="en-US"/>
              </w:rPr>
              <w:tab/>
              <w:t>Note that, based on the Company’s performance results for H1 2019, the actual figures of the business plan deviate from the target ones in accordance with Appendix No 2 to this resolution of the Company’s Board of Directors.</w:t>
            </w:r>
          </w:p>
          <w:p w:rsidR="00E10D4D" w:rsidRPr="0074277F" w:rsidRDefault="00BC4A00" w:rsidP="00C71FA5">
            <w:pPr>
              <w:widowControl w:val="0"/>
              <w:tabs>
                <w:tab w:val="left" w:pos="540"/>
                <w:tab w:val="left" w:pos="1134"/>
              </w:tabs>
              <w:ind w:right="-2" w:firstLine="602"/>
              <w:jc w:val="both"/>
              <w:rPr>
                <w:i/>
                <w:sz w:val="27"/>
                <w:szCs w:val="27"/>
                <w:highlight w:val="lightGray"/>
              </w:rPr>
            </w:pPr>
            <w:r w:rsidRPr="0074277F">
              <w:rPr>
                <w:i/>
                <w:sz w:val="27"/>
                <w:szCs w:val="27"/>
                <w:lang w:bidi="en-US"/>
              </w:rPr>
              <w:t>3.</w:t>
            </w:r>
            <w:r w:rsidRPr="0074277F">
              <w:rPr>
                <w:i/>
                <w:sz w:val="27"/>
                <w:szCs w:val="27"/>
                <w:lang w:bidi="en-US"/>
              </w:rPr>
              <w:tab/>
              <w:t xml:space="preserve">Instruct the Sole Executive Body of Kubanenergo PJSC to ensure execution of the orders in accordance with Appendix No 3 to this resolution of the Company’s Board of Directors. </w:t>
            </w:r>
          </w:p>
        </w:tc>
      </w:tr>
      <w:tr w:rsidR="00BC4A00" w:rsidRPr="0074277F" w:rsidTr="000E12B9">
        <w:trPr>
          <w:trHeight w:val="113"/>
        </w:trPr>
        <w:tc>
          <w:tcPr>
            <w:tcW w:w="9924" w:type="dxa"/>
            <w:gridSpan w:val="2"/>
          </w:tcPr>
          <w:p w:rsidR="00BC4A00" w:rsidRPr="0074277F" w:rsidRDefault="00BC4A00" w:rsidP="00016B05">
            <w:pPr>
              <w:pStyle w:val="a3"/>
              <w:pageBreakBefore/>
              <w:jc w:val="center"/>
              <w:rPr>
                <w:rFonts w:ascii="Times New Roman" w:hAnsi="Times New Roman" w:cs="Times New Roman"/>
                <w:b/>
                <w:sz w:val="27"/>
                <w:szCs w:val="27"/>
              </w:rPr>
            </w:pPr>
            <w:r w:rsidRPr="0074277F">
              <w:rPr>
                <w:rFonts w:ascii="Times New Roman" w:hAnsi="Times New Roman" w:cs="Times New Roman"/>
                <w:b/>
                <w:sz w:val="27"/>
                <w:szCs w:val="27"/>
                <w:lang w:bidi="en-US"/>
              </w:rPr>
              <w:lastRenderedPageBreak/>
              <w:t>Insider information disclosure</w:t>
            </w:r>
          </w:p>
          <w:p w:rsidR="00BC4A00" w:rsidRPr="0074277F" w:rsidRDefault="00BC4A00" w:rsidP="00BC4A00">
            <w:pPr>
              <w:jc w:val="both"/>
              <w:rPr>
                <w:sz w:val="27"/>
                <w:szCs w:val="27"/>
              </w:rPr>
            </w:pPr>
            <w:r w:rsidRPr="0074277F">
              <w:rPr>
                <w:b/>
                <w:sz w:val="27"/>
                <w:szCs w:val="27"/>
                <w:lang w:bidi="en-US"/>
              </w:rPr>
              <w:t>On issue No</w:t>
            </w:r>
            <w:r w:rsidR="008A09C9">
              <w:rPr>
                <w:b/>
                <w:sz w:val="27"/>
                <w:szCs w:val="27"/>
                <w:lang w:bidi="en-US"/>
              </w:rPr>
              <w:t>.</w:t>
            </w:r>
            <w:r w:rsidRPr="0074277F">
              <w:rPr>
                <w:b/>
                <w:sz w:val="27"/>
                <w:szCs w:val="27"/>
                <w:lang w:bidi="en-US"/>
              </w:rPr>
              <w:t xml:space="preserve"> 2 </w:t>
            </w:r>
            <w:r w:rsidRPr="0074277F">
              <w:rPr>
                <w:b/>
                <w:i/>
                <w:sz w:val="27"/>
                <w:szCs w:val="27"/>
                <w:lang w:bidi="en-US"/>
              </w:rPr>
              <w:t>“On approval of the Report on the results of implementation of the investment program of Kubanenergo PJSC for H1 2019”.</w:t>
            </w:r>
          </w:p>
        </w:tc>
      </w:tr>
      <w:tr w:rsidR="00BC4A00" w:rsidRPr="0074277F" w:rsidTr="00BC4A00">
        <w:trPr>
          <w:trHeight w:val="848"/>
        </w:trPr>
        <w:tc>
          <w:tcPr>
            <w:tcW w:w="9924" w:type="dxa"/>
            <w:gridSpan w:val="2"/>
          </w:tcPr>
          <w:p w:rsidR="00BC4A00" w:rsidRPr="0074277F" w:rsidRDefault="00BC4A00" w:rsidP="00E97CCA">
            <w:pPr>
              <w:pStyle w:val="a3"/>
              <w:jc w:val="both"/>
              <w:rPr>
                <w:rFonts w:ascii="Times New Roman" w:hAnsi="Times New Roman" w:cs="Times New Roman"/>
                <w:sz w:val="27"/>
                <w:szCs w:val="27"/>
              </w:rPr>
            </w:pPr>
            <w:r w:rsidRPr="0074277F">
              <w:rPr>
                <w:rFonts w:ascii="Times New Roman" w:hAnsi="Times New Roman" w:cs="Times New Roman"/>
                <w:sz w:val="27"/>
                <w:szCs w:val="27"/>
                <w:lang w:bidi="en-US"/>
              </w:rPr>
              <w:t>2.2.2. Contents of the decisions taken by the Issuer’s Board of Directors:</w:t>
            </w:r>
          </w:p>
          <w:p w:rsidR="00BC4A00" w:rsidRPr="0074277F" w:rsidRDefault="00BC4A00" w:rsidP="00BC4A00">
            <w:pPr>
              <w:widowControl w:val="0"/>
              <w:tabs>
                <w:tab w:val="left" w:pos="540"/>
                <w:tab w:val="left" w:pos="1134"/>
              </w:tabs>
              <w:ind w:right="-2" w:firstLine="602"/>
              <w:jc w:val="both"/>
              <w:rPr>
                <w:i/>
                <w:sz w:val="27"/>
                <w:szCs w:val="27"/>
              </w:rPr>
            </w:pPr>
            <w:r w:rsidRPr="0074277F">
              <w:rPr>
                <w:i/>
                <w:sz w:val="27"/>
                <w:szCs w:val="27"/>
                <w:lang w:bidi="en-US"/>
              </w:rPr>
              <w:t>1.</w:t>
            </w:r>
            <w:r w:rsidRPr="0074277F">
              <w:rPr>
                <w:i/>
                <w:sz w:val="27"/>
                <w:szCs w:val="27"/>
                <w:lang w:bidi="en-US"/>
              </w:rPr>
              <w:tab/>
              <w:t>Take under advisement the report on the results of implementation of the investment program of Kubanenergo PJSC for H1 2019 in accordance with Appendices No</w:t>
            </w:r>
            <w:r w:rsidR="008A09C9">
              <w:rPr>
                <w:i/>
                <w:sz w:val="27"/>
                <w:szCs w:val="27"/>
                <w:lang w:bidi="en-US"/>
              </w:rPr>
              <w:t>s.</w:t>
            </w:r>
            <w:r w:rsidRPr="0074277F">
              <w:rPr>
                <w:i/>
                <w:sz w:val="27"/>
                <w:szCs w:val="27"/>
                <w:lang w:bidi="en-US"/>
              </w:rPr>
              <w:t xml:space="preserve"> 4 and 5 to this resolution of the Company’s Board of Directors.</w:t>
            </w:r>
          </w:p>
          <w:p w:rsidR="00BC4A00" w:rsidRPr="0074277F" w:rsidRDefault="00BC4A00" w:rsidP="00BC4A00">
            <w:pPr>
              <w:widowControl w:val="0"/>
              <w:tabs>
                <w:tab w:val="left" w:pos="540"/>
                <w:tab w:val="left" w:pos="1134"/>
              </w:tabs>
              <w:ind w:right="-2" w:firstLine="602"/>
              <w:jc w:val="both"/>
              <w:rPr>
                <w:i/>
                <w:sz w:val="27"/>
                <w:szCs w:val="27"/>
              </w:rPr>
            </w:pPr>
            <w:r w:rsidRPr="0074277F">
              <w:rPr>
                <w:i/>
                <w:sz w:val="27"/>
                <w:szCs w:val="27"/>
                <w:lang w:bidi="en-US"/>
              </w:rPr>
              <w:t>2.</w:t>
            </w:r>
            <w:r w:rsidRPr="0074277F">
              <w:rPr>
                <w:i/>
                <w:sz w:val="27"/>
                <w:szCs w:val="27"/>
                <w:lang w:bidi="en-US"/>
              </w:rPr>
              <w:tab/>
              <w:t>Note that the actual parameters of implementation of the investment program for H1 2019 deviate from the target ones in accordance with Appendix No</w:t>
            </w:r>
            <w:r w:rsidR="008A09C9">
              <w:rPr>
                <w:i/>
                <w:sz w:val="27"/>
                <w:szCs w:val="27"/>
                <w:lang w:bidi="en-US"/>
              </w:rPr>
              <w:t>.</w:t>
            </w:r>
            <w:r w:rsidRPr="0074277F">
              <w:rPr>
                <w:i/>
                <w:sz w:val="27"/>
                <w:szCs w:val="27"/>
                <w:lang w:bidi="en-US"/>
              </w:rPr>
              <w:t xml:space="preserve"> 6 to this resolution of the Company’s Board of Directors.</w:t>
            </w:r>
          </w:p>
          <w:p w:rsidR="00BC4A00" w:rsidRPr="0074277F" w:rsidRDefault="00BC4A00" w:rsidP="00BC4A00">
            <w:pPr>
              <w:widowControl w:val="0"/>
              <w:tabs>
                <w:tab w:val="left" w:pos="540"/>
                <w:tab w:val="left" w:pos="1134"/>
              </w:tabs>
              <w:ind w:right="-2" w:firstLine="602"/>
              <w:jc w:val="both"/>
              <w:rPr>
                <w:i/>
                <w:sz w:val="27"/>
                <w:szCs w:val="27"/>
                <w:highlight w:val="lightGray"/>
              </w:rPr>
            </w:pPr>
            <w:r w:rsidRPr="0074277F">
              <w:rPr>
                <w:i/>
                <w:sz w:val="27"/>
                <w:szCs w:val="27"/>
                <w:lang w:bidi="en-US"/>
              </w:rPr>
              <w:t>3.</w:t>
            </w:r>
            <w:r w:rsidRPr="0074277F">
              <w:rPr>
                <w:i/>
                <w:sz w:val="27"/>
                <w:szCs w:val="27"/>
                <w:lang w:bidi="en-US"/>
              </w:rPr>
              <w:tab/>
              <w:t>Instruct the General Director of the Company to ensure full execution of the approved investment program of the Company for 2019 in compliance with the requirements set forth in the Decree of the RF Government No</w:t>
            </w:r>
            <w:r w:rsidR="008A09C9">
              <w:rPr>
                <w:i/>
                <w:sz w:val="27"/>
                <w:szCs w:val="27"/>
                <w:lang w:bidi="en-US"/>
              </w:rPr>
              <w:t>.</w:t>
            </w:r>
            <w:r w:rsidRPr="0074277F">
              <w:rPr>
                <w:i/>
                <w:sz w:val="27"/>
                <w:szCs w:val="27"/>
                <w:lang w:bidi="en-US"/>
              </w:rPr>
              <w:t xml:space="preserve"> 977 dd. 01.12.2009, including in order to exclude the risks of application of deductions by the regional regulatory body when setting tariff and balance solutions. </w:t>
            </w:r>
          </w:p>
        </w:tc>
      </w:tr>
      <w:tr w:rsidR="00BC4A00" w:rsidRPr="0074277F" w:rsidTr="00BC4A00">
        <w:tc>
          <w:tcPr>
            <w:tcW w:w="9924" w:type="dxa"/>
            <w:gridSpan w:val="2"/>
          </w:tcPr>
          <w:p w:rsidR="00BC4A00" w:rsidRPr="0074277F" w:rsidRDefault="00BC4A00" w:rsidP="00E97CCA">
            <w:pPr>
              <w:pStyle w:val="a3"/>
              <w:jc w:val="center"/>
              <w:rPr>
                <w:rFonts w:ascii="Times New Roman" w:hAnsi="Times New Roman" w:cs="Times New Roman"/>
                <w:b/>
                <w:sz w:val="27"/>
                <w:szCs w:val="27"/>
              </w:rPr>
            </w:pPr>
            <w:r w:rsidRPr="0074277F">
              <w:rPr>
                <w:rFonts w:ascii="Times New Roman" w:hAnsi="Times New Roman" w:cs="Times New Roman"/>
                <w:b/>
                <w:sz w:val="27"/>
                <w:szCs w:val="27"/>
                <w:lang w:bidi="en-US"/>
              </w:rPr>
              <w:t>Insider information disclosure</w:t>
            </w:r>
          </w:p>
          <w:p w:rsidR="00BC4A00" w:rsidRPr="0074277F" w:rsidRDefault="00BC4A00" w:rsidP="00016B05">
            <w:pPr>
              <w:jc w:val="both"/>
              <w:rPr>
                <w:sz w:val="27"/>
                <w:szCs w:val="27"/>
              </w:rPr>
            </w:pPr>
            <w:r w:rsidRPr="0074277F">
              <w:rPr>
                <w:b/>
                <w:i/>
                <w:sz w:val="27"/>
                <w:szCs w:val="27"/>
                <w:lang w:bidi="en-US"/>
              </w:rPr>
              <w:t>On issue No 3 “On consideration of the Report on the progress of implementation of the Company’s investment projects included into the list of priority facilities of Kubanenergo PJSC, for Q2 2019”.</w:t>
            </w:r>
          </w:p>
        </w:tc>
      </w:tr>
      <w:tr w:rsidR="00BC4A00" w:rsidRPr="0074277F" w:rsidTr="00BC4A00">
        <w:trPr>
          <w:trHeight w:val="848"/>
        </w:trPr>
        <w:tc>
          <w:tcPr>
            <w:tcW w:w="9924" w:type="dxa"/>
            <w:gridSpan w:val="2"/>
          </w:tcPr>
          <w:p w:rsidR="00BC4A00" w:rsidRPr="0074277F" w:rsidRDefault="00BC4A00" w:rsidP="00E97CCA">
            <w:pPr>
              <w:pStyle w:val="a3"/>
              <w:jc w:val="both"/>
              <w:rPr>
                <w:rFonts w:ascii="Times New Roman" w:hAnsi="Times New Roman" w:cs="Times New Roman"/>
                <w:sz w:val="27"/>
                <w:szCs w:val="27"/>
              </w:rPr>
            </w:pPr>
            <w:r w:rsidRPr="0074277F">
              <w:rPr>
                <w:rFonts w:ascii="Times New Roman" w:hAnsi="Times New Roman" w:cs="Times New Roman"/>
                <w:sz w:val="27"/>
                <w:szCs w:val="27"/>
                <w:lang w:bidi="en-US"/>
              </w:rPr>
              <w:t>2.2.3. Contents of the decisions taken by the Issuer’s Board of Directors:</w:t>
            </w:r>
          </w:p>
          <w:p w:rsidR="00BC4A00" w:rsidRPr="0074277F" w:rsidRDefault="000E12B9" w:rsidP="00BC4A00">
            <w:pPr>
              <w:widowControl w:val="0"/>
              <w:tabs>
                <w:tab w:val="left" w:pos="540"/>
                <w:tab w:val="left" w:pos="1134"/>
              </w:tabs>
              <w:ind w:right="-2" w:firstLine="602"/>
              <w:jc w:val="both"/>
              <w:rPr>
                <w:bCs/>
                <w:i/>
                <w:sz w:val="27"/>
                <w:szCs w:val="27"/>
              </w:rPr>
            </w:pPr>
            <w:r w:rsidRPr="0074277F">
              <w:rPr>
                <w:i/>
                <w:sz w:val="27"/>
                <w:szCs w:val="27"/>
                <w:lang w:bidi="en-US"/>
              </w:rPr>
              <w:t>1. Take under advisement the Report on the progress of implementation of the Company’s investment projects included into the list of priority facilities of Kubanenergo PJSC, for Q2 2019 in accordance with Appendix No</w:t>
            </w:r>
            <w:r w:rsidR="008A09C9">
              <w:rPr>
                <w:i/>
                <w:sz w:val="27"/>
                <w:szCs w:val="27"/>
                <w:lang w:bidi="en-US"/>
              </w:rPr>
              <w:t>.</w:t>
            </w:r>
            <w:r w:rsidRPr="0074277F">
              <w:rPr>
                <w:i/>
                <w:sz w:val="27"/>
                <w:szCs w:val="27"/>
                <w:lang w:bidi="en-US"/>
              </w:rPr>
              <w:t xml:space="preserve"> 7 to this resolution of the Company’s Board of Directors.</w:t>
            </w:r>
          </w:p>
          <w:p w:rsidR="00BC4A00" w:rsidRPr="0074277F" w:rsidRDefault="00BC4A00" w:rsidP="00BC4A00">
            <w:pPr>
              <w:widowControl w:val="0"/>
              <w:tabs>
                <w:tab w:val="left" w:pos="540"/>
                <w:tab w:val="left" w:pos="1134"/>
              </w:tabs>
              <w:ind w:right="-2" w:firstLine="602"/>
              <w:jc w:val="both"/>
              <w:rPr>
                <w:bCs/>
                <w:i/>
                <w:sz w:val="27"/>
                <w:szCs w:val="27"/>
              </w:rPr>
            </w:pPr>
            <w:r w:rsidRPr="0074277F">
              <w:rPr>
                <w:i/>
                <w:sz w:val="27"/>
                <w:szCs w:val="27"/>
                <w:lang w:bidi="en-US"/>
              </w:rPr>
              <w:t>2.</w:t>
            </w:r>
            <w:r w:rsidR="008A09C9">
              <w:rPr>
                <w:i/>
                <w:sz w:val="27"/>
                <w:szCs w:val="27"/>
                <w:lang w:bidi="en-US"/>
              </w:rPr>
              <w:t xml:space="preserve"> </w:t>
            </w:r>
            <w:r w:rsidRPr="0074277F">
              <w:rPr>
                <w:i/>
                <w:sz w:val="27"/>
                <w:szCs w:val="27"/>
                <w:lang w:bidi="en-US"/>
              </w:rPr>
              <w:t>Confidential.</w:t>
            </w:r>
          </w:p>
          <w:p w:rsidR="00BC4A00" w:rsidRPr="0074277F" w:rsidRDefault="00BC4A00" w:rsidP="006D7BF2">
            <w:pPr>
              <w:widowControl w:val="0"/>
              <w:tabs>
                <w:tab w:val="left" w:pos="540"/>
                <w:tab w:val="left" w:pos="1134"/>
              </w:tabs>
              <w:ind w:right="-2" w:firstLine="602"/>
              <w:jc w:val="both"/>
              <w:rPr>
                <w:i/>
                <w:sz w:val="27"/>
                <w:szCs w:val="27"/>
                <w:highlight w:val="lightGray"/>
              </w:rPr>
            </w:pPr>
            <w:r w:rsidRPr="0074277F">
              <w:rPr>
                <w:i/>
                <w:sz w:val="27"/>
                <w:szCs w:val="27"/>
                <w:lang w:bidi="en-US"/>
              </w:rPr>
              <w:t>3.</w:t>
            </w:r>
            <w:r w:rsidR="008A09C9">
              <w:rPr>
                <w:i/>
                <w:sz w:val="27"/>
                <w:szCs w:val="27"/>
                <w:lang w:bidi="en-US"/>
              </w:rPr>
              <w:t xml:space="preserve"> </w:t>
            </w:r>
            <w:r w:rsidRPr="0074277F">
              <w:rPr>
                <w:i/>
                <w:sz w:val="27"/>
                <w:szCs w:val="27"/>
                <w:lang w:bidi="en-US"/>
              </w:rPr>
              <w:t xml:space="preserve">Confidential. </w:t>
            </w:r>
          </w:p>
        </w:tc>
      </w:tr>
      <w:tr w:rsidR="00741003" w:rsidRPr="0074277F" w:rsidTr="00BC4A00">
        <w:tc>
          <w:tcPr>
            <w:tcW w:w="9924" w:type="dxa"/>
            <w:gridSpan w:val="2"/>
          </w:tcPr>
          <w:p w:rsidR="00741003" w:rsidRPr="0074277F" w:rsidRDefault="00741003" w:rsidP="006A7084">
            <w:pPr>
              <w:pStyle w:val="a3"/>
              <w:jc w:val="both"/>
              <w:rPr>
                <w:rFonts w:ascii="Times New Roman" w:hAnsi="Times New Roman" w:cs="Times New Roman"/>
                <w:b/>
                <w:i/>
                <w:sz w:val="27"/>
                <w:szCs w:val="27"/>
              </w:rPr>
            </w:pPr>
            <w:r w:rsidRPr="0074277F">
              <w:rPr>
                <w:rFonts w:ascii="Times New Roman" w:hAnsi="Times New Roman" w:cs="Times New Roman"/>
                <w:sz w:val="27"/>
                <w:szCs w:val="27"/>
                <w:lang w:bidi="en-US"/>
              </w:rPr>
              <w:t xml:space="preserve">2.3. Date of the meeting of the Issuer’s Board of Directors where respective decisions were made: </w:t>
            </w:r>
            <w:r w:rsidRPr="0074277F">
              <w:rPr>
                <w:rFonts w:ascii="Times New Roman" w:hAnsi="Times New Roman" w:cs="Times New Roman"/>
                <w:b/>
                <w:i/>
                <w:sz w:val="27"/>
                <w:szCs w:val="27"/>
                <w:lang w:bidi="en-US"/>
              </w:rPr>
              <w:t>November 12, 2019.</w:t>
            </w:r>
          </w:p>
          <w:p w:rsidR="00741003" w:rsidRPr="0074277F" w:rsidRDefault="00741003" w:rsidP="00C71FA5">
            <w:pPr>
              <w:pStyle w:val="a3"/>
              <w:jc w:val="both"/>
              <w:rPr>
                <w:rFonts w:ascii="Times New Roman" w:hAnsi="Times New Roman" w:cs="Times New Roman"/>
                <w:sz w:val="27"/>
                <w:szCs w:val="27"/>
              </w:rPr>
            </w:pPr>
            <w:r w:rsidRPr="0074277F">
              <w:rPr>
                <w:rFonts w:ascii="Times New Roman" w:hAnsi="Times New Roman" w:cs="Times New Roman"/>
                <w:sz w:val="27"/>
                <w:szCs w:val="27"/>
                <w:lang w:bidi="en-US"/>
              </w:rPr>
              <w:t xml:space="preserve">2.4. Date and number of the Minutes of the Meeting of the Issuer’s Board of Directors where the respective decisions were taken: </w:t>
            </w:r>
            <w:r w:rsidRPr="0074277F">
              <w:rPr>
                <w:rFonts w:ascii="Times New Roman" w:hAnsi="Times New Roman" w:cs="Times New Roman"/>
                <w:b/>
                <w:i/>
                <w:sz w:val="27"/>
                <w:szCs w:val="27"/>
                <w:lang w:bidi="en-US"/>
              </w:rPr>
              <w:t>November 15, 2019, Minutes No</w:t>
            </w:r>
            <w:r w:rsidR="008A09C9">
              <w:rPr>
                <w:rFonts w:ascii="Times New Roman" w:hAnsi="Times New Roman" w:cs="Times New Roman"/>
                <w:b/>
                <w:i/>
                <w:sz w:val="27"/>
                <w:szCs w:val="27"/>
                <w:lang w:bidi="en-US"/>
              </w:rPr>
              <w:t>.</w:t>
            </w:r>
            <w:r w:rsidRPr="0074277F">
              <w:rPr>
                <w:rFonts w:ascii="Times New Roman" w:hAnsi="Times New Roman" w:cs="Times New Roman"/>
                <w:b/>
                <w:i/>
                <w:sz w:val="27"/>
                <w:szCs w:val="27"/>
                <w:lang w:bidi="en-US"/>
              </w:rPr>
              <w:t xml:space="preserve"> 365/2019.</w:t>
            </w:r>
          </w:p>
        </w:tc>
      </w:tr>
      <w:tr w:rsidR="00741003" w:rsidRPr="0074277F" w:rsidTr="00BC4A00">
        <w:tc>
          <w:tcPr>
            <w:tcW w:w="9924" w:type="dxa"/>
            <w:gridSpan w:val="2"/>
          </w:tcPr>
          <w:p w:rsidR="00741003" w:rsidRPr="0074277F" w:rsidRDefault="00741003" w:rsidP="006A7084">
            <w:pPr>
              <w:pStyle w:val="a3"/>
              <w:ind w:left="360"/>
              <w:jc w:val="center"/>
              <w:rPr>
                <w:rFonts w:ascii="Times New Roman" w:hAnsi="Times New Roman" w:cs="Times New Roman"/>
                <w:sz w:val="27"/>
                <w:szCs w:val="27"/>
              </w:rPr>
            </w:pPr>
            <w:r w:rsidRPr="0074277F">
              <w:rPr>
                <w:rFonts w:ascii="Times New Roman" w:hAnsi="Times New Roman" w:cs="Times New Roman"/>
                <w:sz w:val="27"/>
                <w:szCs w:val="27"/>
                <w:lang w:bidi="en-US"/>
              </w:rPr>
              <w:t>3. Signature</w:t>
            </w:r>
          </w:p>
        </w:tc>
      </w:tr>
      <w:tr w:rsidR="00741003" w:rsidRPr="0074277F" w:rsidTr="00BC4A00">
        <w:trPr>
          <w:trHeight w:val="1357"/>
        </w:trPr>
        <w:tc>
          <w:tcPr>
            <w:tcW w:w="9924" w:type="dxa"/>
            <w:gridSpan w:val="2"/>
          </w:tcPr>
          <w:p w:rsidR="00EE6568" w:rsidRPr="0074277F" w:rsidRDefault="00EE6568" w:rsidP="00EE6568">
            <w:pPr>
              <w:rPr>
                <w:rFonts w:eastAsia="Calibri"/>
                <w:sz w:val="27"/>
                <w:szCs w:val="27"/>
              </w:rPr>
            </w:pPr>
            <w:r w:rsidRPr="0074277F">
              <w:rPr>
                <w:sz w:val="27"/>
                <w:szCs w:val="27"/>
                <w:lang w:bidi="en-US"/>
              </w:rPr>
              <w:t xml:space="preserve">3.1 Head of </w:t>
            </w:r>
          </w:p>
          <w:p w:rsidR="00EE6568" w:rsidRPr="0074277F" w:rsidRDefault="00EE6568" w:rsidP="00EE6568">
            <w:pPr>
              <w:rPr>
                <w:rFonts w:eastAsia="Calibri"/>
                <w:sz w:val="27"/>
                <w:szCs w:val="27"/>
              </w:rPr>
            </w:pPr>
            <w:r w:rsidRPr="0074277F">
              <w:rPr>
                <w:sz w:val="27"/>
                <w:szCs w:val="27"/>
                <w:lang w:bidi="en-US"/>
              </w:rPr>
              <w:t>Corporate Governance</w:t>
            </w:r>
          </w:p>
          <w:p w:rsidR="00EE6568" w:rsidRPr="0074277F" w:rsidRDefault="00EE6568" w:rsidP="00016B05">
            <w:pPr>
              <w:tabs>
                <w:tab w:val="left" w:pos="5705"/>
              </w:tabs>
              <w:rPr>
                <w:rFonts w:eastAsia="Calibri"/>
                <w:sz w:val="27"/>
                <w:szCs w:val="27"/>
              </w:rPr>
            </w:pPr>
            <w:r w:rsidRPr="0074277F">
              <w:rPr>
                <w:sz w:val="27"/>
                <w:szCs w:val="27"/>
                <w:lang w:bidi="en-US"/>
              </w:rPr>
              <w:t xml:space="preserve">and Shareholder Relations Department </w:t>
            </w:r>
            <w:r w:rsidR="00016B05" w:rsidRPr="0074277F">
              <w:rPr>
                <w:sz w:val="27"/>
                <w:szCs w:val="27"/>
                <w:lang w:bidi="en-US"/>
              </w:rPr>
              <w:tab/>
            </w:r>
            <w:r w:rsidRPr="0074277F">
              <w:rPr>
                <w:sz w:val="27"/>
                <w:szCs w:val="27"/>
                <w:lang w:bidi="en-US"/>
              </w:rPr>
              <w:t>________________    Е.Е. Didenko</w:t>
            </w:r>
          </w:p>
          <w:p w:rsidR="00FF52C2" w:rsidRPr="0074277F" w:rsidRDefault="00EE6568" w:rsidP="00EE6568">
            <w:pPr>
              <w:rPr>
                <w:rFonts w:eastAsia="Calibri"/>
                <w:sz w:val="27"/>
                <w:szCs w:val="27"/>
                <w:lang w:eastAsia="en-US"/>
              </w:rPr>
            </w:pPr>
            <w:r w:rsidRPr="0074277F">
              <w:rPr>
                <w:sz w:val="27"/>
                <w:szCs w:val="27"/>
                <w:lang w:bidi="en-US"/>
              </w:rPr>
              <w:t>(by Power of Attorney No.</w:t>
            </w:r>
            <w:r w:rsidR="008A09C9">
              <w:rPr>
                <w:sz w:val="27"/>
                <w:szCs w:val="27"/>
                <w:lang w:bidi="en-US"/>
              </w:rPr>
              <w:t xml:space="preserve"> </w:t>
            </w:r>
            <w:r w:rsidRPr="0074277F">
              <w:rPr>
                <w:sz w:val="27"/>
                <w:szCs w:val="27"/>
                <w:lang w:bidi="en-US"/>
              </w:rPr>
              <w:t>119/10-1406 dd. 19.12.2018)</w:t>
            </w:r>
            <w:r w:rsidR="00016B05" w:rsidRPr="0074277F">
              <w:rPr>
                <w:sz w:val="27"/>
                <w:szCs w:val="27"/>
                <w:lang w:bidi="en-US"/>
              </w:rPr>
              <w:tab/>
            </w:r>
            <w:r w:rsidRPr="0074277F">
              <w:rPr>
                <w:sz w:val="27"/>
                <w:szCs w:val="27"/>
                <w:lang w:bidi="en-US"/>
              </w:rPr>
              <w:t>(signature)</w:t>
            </w:r>
          </w:p>
          <w:p w:rsidR="00F70266" w:rsidRPr="0074277F" w:rsidRDefault="00F70266" w:rsidP="00F70266">
            <w:pPr>
              <w:pStyle w:val="a3"/>
              <w:rPr>
                <w:rFonts w:ascii="Times New Roman" w:hAnsi="Times New Roman" w:cs="Times New Roman"/>
                <w:sz w:val="27"/>
                <w:szCs w:val="27"/>
              </w:rPr>
            </w:pPr>
          </w:p>
          <w:p w:rsidR="00741003" w:rsidRPr="0074277F" w:rsidRDefault="00016B05" w:rsidP="008A09C9">
            <w:pPr>
              <w:pStyle w:val="a3"/>
              <w:tabs>
                <w:tab w:val="left" w:pos="5176"/>
              </w:tabs>
              <w:rPr>
                <w:rFonts w:ascii="Times New Roman" w:hAnsi="Times New Roman" w:cs="Times New Roman"/>
                <w:sz w:val="27"/>
                <w:szCs w:val="27"/>
              </w:rPr>
            </w:pPr>
            <w:r w:rsidRPr="0074277F">
              <w:rPr>
                <w:rFonts w:ascii="Times New Roman" w:hAnsi="Times New Roman" w:cs="Times New Roman"/>
                <w:sz w:val="27"/>
                <w:szCs w:val="27"/>
                <w:lang w:bidi="en-US"/>
              </w:rPr>
              <w:t>3.2. Date November 15, 2019</w:t>
            </w:r>
            <w:bookmarkStart w:id="0" w:name="_GoBack"/>
            <w:bookmarkEnd w:id="0"/>
            <w:r w:rsidRPr="0074277F">
              <w:rPr>
                <w:rFonts w:ascii="Times New Roman" w:hAnsi="Times New Roman" w:cs="Times New Roman"/>
                <w:sz w:val="27"/>
                <w:szCs w:val="27"/>
                <w:lang w:bidi="en-US"/>
              </w:rPr>
              <w:tab/>
            </w:r>
            <w:r w:rsidR="00F70266" w:rsidRPr="0074277F">
              <w:rPr>
                <w:rFonts w:ascii="Times New Roman" w:hAnsi="Times New Roman" w:cs="Times New Roman"/>
                <w:sz w:val="27"/>
                <w:szCs w:val="27"/>
                <w:lang w:bidi="en-US"/>
              </w:rPr>
              <w:t>L.S.</w:t>
            </w:r>
          </w:p>
        </w:tc>
      </w:tr>
    </w:tbl>
    <w:p w:rsidR="0045226D" w:rsidRPr="0074277F" w:rsidRDefault="0045226D" w:rsidP="000E12B9">
      <w:pPr>
        <w:jc w:val="center"/>
        <w:rPr>
          <w:sz w:val="27"/>
          <w:szCs w:val="27"/>
        </w:rPr>
      </w:pPr>
    </w:p>
    <w:sectPr w:rsidR="0045226D" w:rsidRPr="0074277F" w:rsidSect="000E12B9">
      <w:pgSz w:w="11906" w:h="16838"/>
      <w:pgMar w:top="567"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8BC" w:rsidRDefault="00E758BC" w:rsidP="00C5099C">
      <w:r>
        <w:separator/>
      </w:r>
    </w:p>
  </w:endnote>
  <w:endnote w:type="continuationSeparator" w:id="0">
    <w:p w:rsidR="00E758BC" w:rsidRDefault="00E758BC"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8BC" w:rsidRDefault="00E758BC" w:rsidP="00C5099C">
      <w:r>
        <w:separator/>
      </w:r>
    </w:p>
  </w:footnote>
  <w:footnote w:type="continuationSeparator" w:id="0">
    <w:p w:rsidR="00E758BC" w:rsidRDefault="00E758BC" w:rsidP="00C5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5">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6"/>
  </w:num>
  <w:num w:numId="4">
    <w:abstractNumId w:val="4"/>
  </w:num>
  <w:num w:numId="5">
    <w:abstractNumId w:val="0"/>
  </w:num>
  <w:num w:numId="6">
    <w:abstractNumId w:val="2"/>
  </w:num>
  <w:num w:numId="7">
    <w:abstractNumId w:val="5"/>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A84"/>
    <w:rsid w:val="00010B6B"/>
    <w:rsid w:val="00015287"/>
    <w:rsid w:val="00016B05"/>
    <w:rsid w:val="00020C5E"/>
    <w:rsid w:val="000238F7"/>
    <w:rsid w:val="00036FF9"/>
    <w:rsid w:val="00046601"/>
    <w:rsid w:val="000528AB"/>
    <w:rsid w:val="000655FF"/>
    <w:rsid w:val="000812B4"/>
    <w:rsid w:val="000812C9"/>
    <w:rsid w:val="00084028"/>
    <w:rsid w:val="00086832"/>
    <w:rsid w:val="00087563"/>
    <w:rsid w:val="00087DA5"/>
    <w:rsid w:val="00091224"/>
    <w:rsid w:val="000A1166"/>
    <w:rsid w:val="000B19A7"/>
    <w:rsid w:val="000B22DB"/>
    <w:rsid w:val="000B2E62"/>
    <w:rsid w:val="000D1922"/>
    <w:rsid w:val="000D5047"/>
    <w:rsid w:val="000D587F"/>
    <w:rsid w:val="000D76C8"/>
    <w:rsid w:val="000D795F"/>
    <w:rsid w:val="000E12B9"/>
    <w:rsid w:val="000E1FED"/>
    <w:rsid w:val="000E2653"/>
    <w:rsid w:val="000E5E7E"/>
    <w:rsid w:val="000F01FC"/>
    <w:rsid w:val="000F4DFE"/>
    <w:rsid w:val="00101C52"/>
    <w:rsid w:val="0010430A"/>
    <w:rsid w:val="0011275D"/>
    <w:rsid w:val="00142353"/>
    <w:rsid w:val="00143D25"/>
    <w:rsid w:val="00155944"/>
    <w:rsid w:val="00155E90"/>
    <w:rsid w:val="00157223"/>
    <w:rsid w:val="00166C79"/>
    <w:rsid w:val="001762AE"/>
    <w:rsid w:val="0018648B"/>
    <w:rsid w:val="00190E0A"/>
    <w:rsid w:val="00196318"/>
    <w:rsid w:val="001A4FE8"/>
    <w:rsid w:val="001A5D8D"/>
    <w:rsid w:val="001B23FD"/>
    <w:rsid w:val="001B4D6A"/>
    <w:rsid w:val="001B5463"/>
    <w:rsid w:val="001B7196"/>
    <w:rsid w:val="001C064D"/>
    <w:rsid w:val="001C5F13"/>
    <w:rsid w:val="001D2761"/>
    <w:rsid w:val="001E000F"/>
    <w:rsid w:val="001E055B"/>
    <w:rsid w:val="001E3A5C"/>
    <w:rsid w:val="0020007C"/>
    <w:rsid w:val="002009E2"/>
    <w:rsid w:val="0020448C"/>
    <w:rsid w:val="00212EFE"/>
    <w:rsid w:val="0022502C"/>
    <w:rsid w:val="002252C2"/>
    <w:rsid w:val="00225D0E"/>
    <w:rsid w:val="00232B2C"/>
    <w:rsid w:val="00235C54"/>
    <w:rsid w:val="00236918"/>
    <w:rsid w:val="00265D89"/>
    <w:rsid w:val="00267CD9"/>
    <w:rsid w:val="00271F6A"/>
    <w:rsid w:val="00273E6A"/>
    <w:rsid w:val="00275923"/>
    <w:rsid w:val="002851B0"/>
    <w:rsid w:val="002904FF"/>
    <w:rsid w:val="00290D0F"/>
    <w:rsid w:val="00290EAF"/>
    <w:rsid w:val="00293187"/>
    <w:rsid w:val="00294903"/>
    <w:rsid w:val="00294FB8"/>
    <w:rsid w:val="00295F91"/>
    <w:rsid w:val="002A74CF"/>
    <w:rsid w:val="002C134B"/>
    <w:rsid w:val="002C3ED9"/>
    <w:rsid w:val="002D1B98"/>
    <w:rsid w:val="002D2643"/>
    <w:rsid w:val="002D2F31"/>
    <w:rsid w:val="002D3460"/>
    <w:rsid w:val="002D6A9E"/>
    <w:rsid w:val="002E2769"/>
    <w:rsid w:val="002E2C8F"/>
    <w:rsid w:val="002F5B8F"/>
    <w:rsid w:val="003146A8"/>
    <w:rsid w:val="00316754"/>
    <w:rsid w:val="00322AEC"/>
    <w:rsid w:val="00322B7B"/>
    <w:rsid w:val="003303DF"/>
    <w:rsid w:val="003318D5"/>
    <w:rsid w:val="00340BA2"/>
    <w:rsid w:val="00356FF6"/>
    <w:rsid w:val="00361703"/>
    <w:rsid w:val="0036257B"/>
    <w:rsid w:val="00364A53"/>
    <w:rsid w:val="003714D8"/>
    <w:rsid w:val="00372AE9"/>
    <w:rsid w:val="003914CE"/>
    <w:rsid w:val="00393C50"/>
    <w:rsid w:val="00396CF0"/>
    <w:rsid w:val="003A0253"/>
    <w:rsid w:val="003A3479"/>
    <w:rsid w:val="003A5EF6"/>
    <w:rsid w:val="003B18CF"/>
    <w:rsid w:val="003B4FA2"/>
    <w:rsid w:val="003B6A95"/>
    <w:rsid w:val="003D4607"/>
    <w:rsid w:val="003D7747"/>
    <w:rsid w:val="003E26F6"/>
    <w:rsid w:val="003F0A20"/>
    <w:rsid w:val="00401D3B"/>
    <w:rsid w:val="00402154"/>
    <w:rsid w:val="00411DDA"/>
    <w:rsid w:val="00413B92"/>
    <w:rsid w:val="00415885"/>
    <w:rsid w:val="00420F04"/>
    <w:rsid w:val="00425F2B"/>
    <w:rsid w:val="004260C4"/>
    <w:rsid w:val="004261B7"/>
    <w:rsid w:val="00434649"/>
    <w:rsid w:val="004501D1"/>
    <w:rsid w:val="0045226D"/>
    <w:rsid w:val="004543EE"/>
    <w:rsid w:val="004548BF"/>
    <w:rsid w:val="004610C7"/>
    <w:rsid w:val="00471361"/>
    <w:rsid w:val="00471BBD"/>
    <w:rsid w:val="004730E2"/>
    <w:rsid w:val="0047315B"/>
    <w:rsid w:val="00474626"/>
    <w:rsid w:val="00475583"/>
    <w:rsid w:val="004918A3"/>
    <w:rsid w:val="004972B6"/>
    <w:rsid w:val="00497E21"/>
    <w:rsid w:val="004A4158"/>
    <w:rsid w:val="004A68E9"/>
    <w:rsid w:val="004C0FB3"/>
    <w:rsid w:val="004C1325"/>
    <w:rsid w:val="004C6F9E"/>
    <w:rsid w:val="004C7A35"/>
    <w:rsid w:val="004D0A6C"/>
    <w:rsid w:val="004D1160"/>
    <w:rsid w:val="004D1454"/>
    <w:rsid w:val="004D2E11"/>
    <w:rsid w:val="004D532C"/>
    <w:rsid w:val="004D7229"/>
    <w:rsid w:val="004F1587"/>
    <w:rsid w:val="004F1988"/>
    <w:rsid w:val="004F2011"/>
    <w:rsid w:val="004F5D30"/>
    <w:rsid w:val="004F6A0D"/>
    <w:rsid w:val="00516D7E"/>
    <w:rsid w:val="00524BEA"/>
    <w:rsid w:val="005342A7"/>
    <w:rsid w:val="0055168B"/>
    <w:rsid w:val="00552531"/>
    <w:rsid w:val="005546E2"/>
    <w:rsid w:val="00566266"/>
    <w:rsid w:val="00570456"/>
    <w:rsid w:val="00573881"/>
    <w:rsid w:val="00573D3B"/>
    <w:rsid w:val="00580C67"/>
    <w:rsid w:val="005875C8"/>
    <w:rsid w:val="00591B51"/>
    <w:rsid w:val="005947D9"/>
    <w:rsid w:val="005A0F7C"/>
    <w:rsid w:val="005B57E1"/>
    <w:rsid w:val="005B7917"/>
    <w:rsid w:val="005C3402"/>
    <w:rsid w:val="005C4FDA"/>
    <w:rsid w:val="005C5847"/>
    <w:rsid w:val="005D36EB"/>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044B"/>
    <w:rsid w:val="006430C7"/>
    <w:rsid w:val="00647521"/>
    <w:rsid w:val="00650F04"/>
    <w:rsid w:val="00655BF7"/>
    <w:rsid w:val="00671326"/>
    <w:rsid w:val="00672C8F"/>
    <w:rsid w:val="00672CAF"/>
    <w:rsid w:val="00680DC8"/>
    <w:rsid w:val="0068193A"/>
    <w:rsid w:val="00683906"/>
    <w:rsid w:val="00684705"/>
    <w:rsid w:val="0068696B"/>
    <w:rsid w:val="00687F83"/>
    <w:rsid w:val="006A7084"/>
    <w:rsid w:val="006C05EA"/>
    <w:rsid w:val="006C3F57"/>
    <w:rsid w:val="006D7BF2"/>
    <w:rsid w:val="006F08DD"/>
    <w:rsid w:val="006F09D1"/>
    <w:rsid w:val="006F73C2"/>
    <w:rsid w:val="00703358"/>
    <w:rsid w:val="0070694D"/>
    <w:rsid w:val="0070781F"/>
    <w:rsid w:val="00714127"/>
    <w:rsid w:val="0073249D"/>
    <w:rsid w:val="00735A80"/>
    <w:rsid w:val="007406B8"/>
    <w:rsid w:val="00741003"/>
    <w:rsid w:val="00741B96"/>
    <w:rsid w:val="0074277F"/>
    <w:rsid w:val="00753122"/>
    <w:rsid w:val="0075374F"/>
    <w:rsid w:val="007549AD"/>
    <w:rsid w:val="00761EF7"/>
    <w:rsid w:val="00762E99"/>
    <w:rsid w:val="00763856"/>
    <w:rsid w:val="007638FB"/>
    <w:rsid w:val="00766FD4"/>
    <w:rsid w:val="00770F84"/>
    <w:rsid w:val="00773A71"/>
    <w:rsid w:val="00791BEF"/>
    <w:rsid w:val="007A467C"/>
    <w:rsid w:val="007B689E"/>
    <w:rsid w:val="007C3B23"/>
    <w:rsid w:val="007D3EC1"/>
    <w:rsid w:val="007D6383"/>
    <w:rsid w:val="007E1E11"/>
    <w:rsid w:val="007E3016"/>
    <w:rsid w:val="007E6DEB"/>
    <w:rsid w:val="007E71AC"/>
    <w:rsid w:val="007F1236"/>
    <w:rsid w:val="007F4C66"/>
    <w:rsid w:val="00802AB4"/>
    <w:rsid w:val="008066B5"/>
    <w:rsid w:val="00815FFD"/>
    <w:rsid w:val="00822BB9"/>
    <w:rsid w:val="008276FB"/>
    <w:rsid w:val="008361AE"/>
    <w:rsid w:val="00844B2D"/>
    <w:rsid w:val="00845652"/>
    <w:rsid w:val="008530DD"/>
    <w:rsid w:val="008569D0"/>
    <w:rsid w:val="00860E57"/>
    <w:rsid w:val="008619C6"/>
    <w:rsid w:val="008723BA"/>
    <w:rsid w:val="00872891"/>
    <w:rsid w:val="00874105"/>
    <w:rsid w:val="00875619"/>
    <w:rsid w:val="00881D9B"/>
    <w:rsid w:val="00882836"/>
    <w:rsid w:val="00884779"/>
    <w:rsid w:val="0088679A"/>
    <w:rsid w:val="0089796E"/>
    <w:rsid w:val="008A09C9"/>
    <w:rsid w:val="008A5F53"/>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234A4"/>
    <w:rsid w:val="009335F3"/>
    <w:rsid w:val="00933DFA"/>
    <w:rsid w:val="00934ABE"/>
    <w:rsid w:val="00935D95"/>
    <w:rsid w:val="00936E61"/>
    <w:rsid w:val="0093799B"/>
    <w:rsid w:val="0094398D"/>
    <w:rsid w:val="00947961"/>
    <w:rsid w:val="009531E3"/>
    <w:rsid w:val="00960705"/>
    <w:rsid w:val="00961820"/>
    <w:rsid w:val="00971A36"/>
    <w:rsid w:val="00972320"/>
    <w:rsid w:val="00974C3F"/>
    <w:rsid w:val="0098348B"/>
    <w:rsid w:val="009858D7"/>
    <w:rsid w:val="00985C35"/>
    <w:rsid w:val="00990A73"/>
    <w:rsid w:val="00995D15"/>
    <w:rsid w:val="00995FC7"/>
    <w:rsid w:val="009A2F8C"/>
    <w:rsid w:val="009B3565"/>
    <w:rsid w:val="009C1EE5"/>
    <w:rsid w:val="009C4159"/>
    <w:rsid w:val="009C72DB"/>
    <w:rsid w:val="009D0BEB"/>
    <w:rsid w:val="009D0FC3"/>
    <w:rsid w:val="009E0703"/>
    <w:rsid w:val="009E59C7"/>
    <w:rsid w:val="009F027C"/>
    <w:rsid w:val="009F3D9B"/>
    <w:rsid w:val="009F6366"/>
    <w:rsid w:val="00A03CE2"/>
    <w:rsid w:val="00A04BCB"/>
    <w:rsid w:val="00A103A2"/>
    <w:rsid w:val="00A212F6"/>
    <w:rsid w:val="00A258B1"/>
    <w:rsid w:val="00A32B37"/>
    <w:rsid w:val="00A32CCA"/>
    <w:rsid w:val="00A46683"/>
    <w:rsid w:val="00A50E41"/>
    <w:rsid w:val="00A5222F"/>
    <w:rsid w:val="00A535F3"/>
    <w:rsid w:val="00A8319A"/>
    <w:rsid w:val="00A85559"/>
    <w:rsid w:val="00A87AC1"/>
    <w:rsid w:val="00A92232"/>
    <w:rsid w:val="00A92372"/>
    <w:rsid w:val="00AA0667"/>
    <w:rsid w:val="00AA1431"/>
    <w:rsid w:val="00AA172E"/>
    <w:rsid w:val="00AA7EC8"/>
    <w:rsid w:val="00AB56DE"/>
    <w:rsid w:val="00AC2A4D"/>
    <w:rsid w:val="00AF5565"/>
    <w:rsid w:val="00AF55F4"/>
    <w:rsid w:val="00B01511"/>
    <w:rsid w:val="00B04F9A"/>
    <w:rsid w:val="00B060B5"/>
    <w:rsid w:val="00B17FBB"/>
    <w:rsid w:val="00B22153"/>
    <w:rsid w:val="00B22188"/>
    <w:rsid w:val="00B24936"/>
    <w:rsid w:val="00B34342"/>
    <w:rsid w:val="00B366D0"/>
    <w:rsid w:val="00B36D59"/>
    <w:rsid w:val="00B442D4"/>
    <w:rsid w:val="00B56683"/>
    <w:rsid w:val="00B57CDE"/>
    <w:rsid w:val="00B70C4F"/>
    <w:rsid w:val="00B7221F"/>
    <w:rsid w:val="00B905ED"/>
    <w:rsid w:val="00B93DEA"/>
    <w:rsid w:val="00B96624"/>
    <w:rsid w:val="00BA33B5"/>
    <w:rsid w:val="00BA4527"/>
    <w:rsid w:val="00BA5195"/>
    <w:rsid w:val="00BC4A00"/>
    <w:rsid w:val="00BE3636"/>
    <w:rsid w:val="00BF227F"/>
    <w:rsid w:val="00BF2607"/>
    <w:rsid w:val="00BF59D1"/>
    <w:rsid w:val="00BF6394"/>
    <w:rsid w:val="00BF7BAE"/>
    <w:rsid w:val="00BF7ED2"/>
    <w:rsid w:val="00C02B3B"/>
    <w:rsid w:val="00C07688"/>
    <w:rsid w:val="00C10CBB"/>
    <w:rsid w:val="00C13329"/>
    <w:rsid w:val="00C14210"/>
    <w:rsid w:val="00C20EB4"/>
    <w:rsid w:val="00C21D8D"/>
    <w:rsid w:val="00C3437B"/>
    <w:rsid w:val="00C34EC8"/>
    <w:rsid w:val="00C35A56"/>
    <w:rsid w:val="00C433CB"/>
    <w:rsid w:val="00C47824"/>
    <w:rsid w:val="00C507C0"/>
    <w:rsid w:val="00C5099C"/>
    <w:rsid w:val="00C50A27"/>
    <w:rsid w:val="00C546A3"/>
    <w:rsid w:val="00C555D2"/>
    <w:rsid w:val="00C57545"/>
    <w:rsid w:val="00C63F13"/>
    <w:rsid w:val="00C64997"/>
    <w:rsid w:val="00C64ADF"/>
    <w:rsid w:val="00C67A2E"/>
    <w:rsid w:val="00C71FA5"/>
    <w:rsid w:val="00C75537"/>
    <w:rsid w:val="00C76CE5"/>
    <w:rsid w:val="00C94757"/>
    <w:rsid w:val="00C96DF4"/>
    <w:rsid w:val="00CB1E20"/>
    <w:rsid w:val="00CD46FD"/>
    <w:rsid w:val="00CF078F"/>
    <w:rsid w:val="00CF74AC"/>
    <w:rsid w:val="00D00077"/>
    <w:rsid w:val="00D0201A"/>
    <w:rsid w:val="00D0458D"/>
    <w:rsid w:val="00D05386"/>
    <w:rsid w:val="00D11A32"/>
    <w:rsid w:val="00D2430D"/>
    <w:rsid w:val="00D26470"/>
    <w:rsid w:val="00D266D3"/>
    <w:rsid w:val="00D26F31"/>
    <w:rsid w:val="00D276C2"/>
    <w:rsid w:val="00D3655F"/>
    <w:rsid w:val="00D42C06"/>
    <w:rsid w:val="00D45800"/>
    <w:rsid w:val="00D549B8"/>
    <w:rsid w:val="00D661CA"/>
    <w:rsid w:val="00D67557"/>
    <w:rsid w:val="00D7746C"/>
    <w:rsid w:val="00D83715"/>
    <w:rsid w:val="00D8755C"/>
    <w:rsid w:val="00D90760"/>
    <w:rsid w:val="00D91C77"/>
    <w:rsid w:val="00D967F8"/>
    <w:rsid w:val="00DB7480"/>
    <w:rsid w:val="00DD7F1C"/>
    <w:rsid w:val="00DE5AED"/>
    <w:rsid w:val="00DF0432"/>
    <w:rsid w:val="00DF1458"/>
    <w:rsid w:val="00E07E71"/>
    <w:rsid w:val="00E10D4D"/>
    <w:rsid w:val="00E111C0"/>
    <w:rsid w:val="00E14EDF"/>
    <w:rsid w:val="00E2472C"/>
    <w:rsid w:val="00E339CF"/>
    <w:rsid w:val="00E36F2C"/>
    <w:rsid w:val="00E474E2"/>
    <w:rsid w:val="00E52512"/>
    <w:rsid w:val="00E57436"/>
    <w:rsid w:val="00E60710"/>
    <w:rsid w:val="00E6261F"/>
    <w:rsid w:val="00E64EE6"/>
    <w:rsid w:val="00E65BBD"/>
    <w:rsid w:val="00E748F7"/>
    <w:rsid w:val="00E75226"/>
    <w:rsid w:val="00E758BC"/>
    <w:rsid w:val="00E84116"/>
    <w:rsid w:val="00E91F09"/>
    <w:rsid w:val="00E9541C"/>
    <w:rsid w:val="00E96B69"/>
    <w:rsid w:val="00E9711F"/>
    <w:rsid w:val="00EA729C"/>
    <w:rsid w:val="00EB4856"/>
    <w:rsid w:val="00EC0C43"/>
    <w:rsid w:val="00EC1DE4"/>
    <w:rsid w:val="00EC1F14"/>
    <w:rsid w:val="00EC4854"/>
    <w:rsid w:val="00EC72EB"/>
    <w:rsid w:val="00ED1BFD"/>
    <w:rsid w:val="00ED2616"/>
    <w:rsid w:val="00EE1A36"/>
    <w:rsid w:val="00EE2DB9"/>
    <w:rsid w:val="00EE6568"/>
    <w:rsid w:val="00EF0A1F"/>
    <w:rsid w:val="00EF78F8"/>
    <w:rsid w:val="00F008ED"/>
    <w:rsid w:val="00F03071"/>
    <w:rsid w:val="00F05707"/>
    <w:rsid w:val="00F146B6"/>
    <w:rsid w:val="00F20639"/>
    <w:rsid w:val="00F32809"/>
    <w:rsid w:val="00F353FC"/>
    <w:rsid w:val="00F4206E"/>
    <w:rsid w:val="00F46136"/>
    <w:rsid w:val="00F6573B"/>
    <w:rsid w:val="00F66A85"/>
    <w:rsid w:val="00F70266"/>
    <w:rsid w:val="00F8391D"/>
    <w:rsid w:val="00F906CE"/>
    <w:rsid w:val="00F97604"/>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47F57-5E36-4F85-994B-5CD13FF3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9"/>
    <w:rsid w:val="008F5010"/>
    <w:pPr>
      <w:autoSpaceDE/>
      <w:autoSpaceDN/>
      <w:jc w:val="both"/>
    </w:pPr>
    <w:rPr>
      <w:sz w:val="28"/>
    </w:rPr>
  </w:style>
  <w:style w:type="character" w:customStyle="1" w:styleId="a9">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8"/>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8C7F2D"/>
    <w:rPr>
      <w:rFonts w:ascii="Tahoma" w:hAnsi="Tahoma" w:cs="Tahoma"/>
      <w:sz w:val="16"/>
      <w:szCs w:val="16"/>
    </w:rPr>
  </w:style>
  <w:style w:type="character" w:customStyle="1" w:styleId="ab">
    <w:name w:val="Текст выноски Знак"/>
    <w:basedOn w:val="a0"/>
    <w:link w:val="aa"/>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c">
    <w:name w:val="Title"/>
    <w:basedOn w:val="a"/>
    <w:link w:val="ad"/>
    <w:qFormat/>
    <w:rsid w:val="001B5463"/>
    <w:pPr>
      <w:autoSpaceDE/>
      <w:autoSpaceDN/>
      <w:jc w:val="center"/>
    </w:pPr>
    <w:rPr>
      <w:b/>
      <w:szCs w:val="20"/>
    </w:rPr>
  </w:style>
  <w:style w:type="character" w:customStyle="1" w:styleId="ad">
    <w:name w:val="Название Знак"/>
    <w:basedOn w:val="a0"/>
    <w:link w:val="ac"/>
    <w:rsid w:val="001B5463"/>
    <w:rPr>
      <w:rFonts w:ascii="Times New Roman" w:eastAsia="Times New Roman" w:hAnsi="Times New Roman" w:cs="Times New Roman"/>
      <w:b/>
      <w:sz w:val="24"/>
      <w:szCs w:val="20"/>
      <w:lang w:eastAsia="ru-RU"/>
    </w:rPr>
  </w:style>
  <w:style w:type="character" w:styleId="ae">
    <w:name w:val="annotation reference"/>
    <w:basedOn w:val="a0"/>
    <w:uiPriority w:val="99"/>
    <w:semiHidden/>
    <w:unhideWhenUsed/>
    <w:rsid w:val="00990A73"/>
    <w:rPr>
      <w:sz w:val="16"/>
      <w:szCs w:val="16"/>
    </w:rPr>
  </w:style>
  <w:style w:type="paragraph" w:styleId="af">
    <w:name w:val="annotation text"/>
    <w:basedOn w:val="a"/>
    <w:link w:val="af0"/>
    <w:uiPriority w:val="99"/>
    <w:semiHidden/>
    <w:unhideWhenUsed/>
    <w:rsid w:val="00990A73"/>
    <w:rPr>
      <w:sz w:val="20"/>
      <w:szCs w:val="20"/>
    </w:rPr>
  </w:style>
  <w:style w:type="character" w:customStyle="1" w:styleId="af0">
    <w:name w:val="Текст примечания Знак"/>
    <w:basedOn w:val="a0"/>
    <w:link w:val="af"/>
    <w:uiPriority w:val="99"/>
    <w:semiHidden/>
    <w:rsid w:val="00990A7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90A73"/>
    <w:rPr>
      <w:b/>
      <w:bCs/>
    </w:rPr>
  </w:style>
  <w:style w:type="character" w:customStyle="1" w:styleId="af2">
    <w:name w:val="Тема примечания Знак"/>
    <w:basedOn w:val="af0"/>
    <w:link w:val="af1"/>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3">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4">
    <w:name w:val="footnote text"/>
    <w:basedOn w:val="a"/>
    <w:link w:val="af5"/>
    <w:rsid w:val="00C5099C"/>
    <w:pPr>
      <w:autoSpaceDE/>
      <w:autoSpaceDN/>
      <w:jc w:val="both"/>
    </w:pPr>
    <w:rPr>
      <w:sz w:val="20"/>
      <w:szCs w:val="20"/>
    </w:rPr>
  </w:style>
  <w:style w:type="character" w:customStyle="1" w:styleId="af5">
    <w:name w:val="Текст сноски Знак"/>
    <w:basedOn w:val="a0"/>
    <w:link w:val="af4"/>
    <w:rsid w:val="00C5099C"/>
    <w:rPr>
      <w:rFonts w:ascii="Times New Roman" w:eastAsia="Times New Roman" w:hAnsi="Times New Roman" w:cs="Times New Roman"/>
      <w:sz w:val="20"/>
      <w:szCs w:val="20"/>
      <w:lang w:eastAsia="ru-RU"/>
    </w:rPr>
  </w:style>
  <w:style w:type="character" w:styleId="af6">
    <w:name w:val="footnote reference"/>
    <w:rsid w:val="00C50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09238-9C48-408A-9494-8822AA55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648</Words>
  <Characters>3698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Валерия Яески</cp:lastModifiedBy>
  <cp:revision>32</cp:revision>
  <cp:lastPrinted>2019-11-11T06:20:00Z</cp:lastPrinted>
  <dcterms:created xsi:type="dcterms:W3CDTF">2019-08-14T05:32:00Z</dcterms:created>
  <dcterms:modified xsi:type="dcterms:W3CDTF">2019-12-16T10:09:00Z</dcterms:modified>
</cp:coreProperties>
</file>