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F646F9" w14:textId="77777777" w:rsidR="0045226D" w:rsidRPr="004F111B" w:rsidRDefault="0045226D" w:rsidP="00273E6A">
      <w:pPr>
        <w:pStyle w:val="a3"/>
        <w:jc w:val="center"/>
        <w:rPr>
          <w:rFonts w:ascii="Times New Roman" w:hAnsi="Times New Roman" w:cs="Times New Roman"/>
          <w:b/>
          <w:sz w:val="26"/>
          <w:szCs w:val="26"/>
        </w:rPr>
      </w:pPr>
      <w:r w:rsidRPr="004F111B">
        <w:rPr>
          <w:rFonts w:ascii="Times New Roman" w:hAnsi="Times New Roman" w:cs="Times New Roman"/>
          <w:b/>
          <w:sz w:val="26"/>
          <w:szCs w:val="26"/>
          <w:lang w:bidi="en-US"/>
        </w:rPr>
        <w:t>Corporate action notice</w:t>
      </w:r>
    </w:p>
    <w:p w14:paraId="3A0D86C3" w14:textId="77777777" w:rsidR="00232B2C" w:rsidRPr="004F111B" w:rsidRDefault="005546E2" w:rsidP="00273E6A">
      <w:pPr>
        <w:pStyle w:val="a3"/>
        <w:jc w:val="center"/>
        <w:rPr>
          <w:rFonts w:ascii="Times New Roman" w:hAnsi="Times New Roman" w:cs="Times New Roman"/>
          <w:b/>
          <w:sz w:val="26"/>
          <w:szCs w:val="26"/>
        </w:rPr>
      </w:pPr>
      <w:r w:rsidRPr="004F111B">
        <w:rPr>
          <w:rFonts w:ascii="Times New Roman" w:hAnsi="Times New Roman" w:cs="Times New Roman"/>
          <w:b/>
          <w:sz w:val="26"/>
          <w:szCs w:val="26"/>
          <w:lang w:bidi="en-US"/>
        </w:rPr>
        <w:t>On decisions made by the Issuer’s Board of Directors</w:t>
      </w:r>
    </w:p>
    <w:p w14:paraId="33F7CB8B" w14:textId="77777777" w:rsidR="00773A71" w:rsidRPr="004F111B" w:rsidRDefault="00714127" w:rsidP="00273E6A">
      <w:pPr>
        <w:pStyle w:val="a3"/>
        <w:jc w:val="center"/>
        <w:rPr>
          <w:rFonts w:ascii="Times New Roman" w:hAnsi="Times New Roman" w:cs="Times New Roman"/>
          <w:b/>
          <w:sz w:val="26"/>
          <w:szCs w:val="26"/>
        </w:rPr>
      </w:pPr>
      <w:r w:rsidRPr="004F111B">
        <w:rPr>
          <w:rFonts w:ascii="Times New Roman" w:hAnsi="Times New Roman" w:cs="Times New Roman"/>
          <w:b/>
          <w:sz w:val="26"/>
          <w:szCs w:val="26"/>
          <w:lang w:bidi="en-US"/>
        </w:rPr>
        <w:t>(insider information disclosure)</w:t>
      </w:r>
    </w:p>
    <w:tbl>
      <w:tblPr>
        <w:tblStyle w:val="a4"/>
        <w:tblW w:w="10348" w:type="dxa"/>
        <w:tblInd w:w="-601" w:type="dxa"/>
        <w:tblLayout w:type="fixed"/>
        <w:tblLook w:val="04A0" w:firstRow="1" w:lastRow="0" w:firstColumn="1" w:lastColumn="0" w:noHBand="0" w:noVBand="1"/>
      </w:tblPr>
      <w:tblGrid>
        <w:gridCol w:w="4253"/>
        <w:gridCol w:w="6095"/>
      </w:tblGrid>
      <w:tr w:rsidR="0045226D" w:rsidRPr="004F111B" w14:paraId="2A4F45A4" w14:textId="77777777" w:rsidTr="002D2F31">
        <w:tc>
          <w:tcPr>
            <w:tcW w:w="10348" w:type="dxa"/>
            <w:gridSpan w:val="2"/>
          </w:tcPr>
          <w:p w14:paraId="44487221" w14:textId="77777777" w:rsidR="0045226D" w:rsidRPr="004F111B" w:rsidRDefault="0045226D" w:rsidP="006A7084">
            <w:pPr>
              <w:pStyle w:val="a3"/>
              <w:numPr>
                <w:ilvl w:val="0"/>
                <w:numId w:val="1"/>
              </w:numPr>
              <w:jc w:val="center"/>
              <w:rPr>
                <w:rFonts w:ascii="Times New Roman" w:hAnsi="Times New Roman" w:cs="Times New Roman"/>
                <w:sz w:val="26"/>
                <w:szCs w:val="26"/>
              </w:rPr>
            </w:pPr>
            <w:r w:rsidRPr="004F111B">
              <w:rPr>
                <w:rFonts w:ascii="Times New Roman" w:hAnsi="Times New Roman" w:cs="Times New Roman"/>
                <w:sz w:val="26"/>
                <w:szCs w:val="26"/>
                <w:lang w:bidi="en-US"/>
              </w:rPr>
              <w:t>General information</w:t>
            </w:r>
          </w:p>
        </w:tc>
      </w:tr>
      <w:tr w:rsidR="0045226D" w:rsidRPr="004F111B" w14:paraId="11690387" w14:textId="77777777" w:rsidTr="002D2F31">
        <w:trPr>
          <w:trHeight w:val="599"/>
        </w:trPr>
        <w:tc>
          <w:tcPr>
            <w:tcW w:w="4253" w:type="dxa"/>
          </w:tcPr>
          <w:p w14:paraId="3E2F5C66" w14:textId="77777777" w:rsidR="0045226D" w:rsidRPr="004F111B" w:rsidRDefault="0045226D" w:rsidP="00802AB4">
            <w:pPr>
              <w:pStyle w:val="a3"/>
              <w:rPr>
                <w:rFonts w:ascii="Times New Roman" w:hAnsi="Times New Roman" w:cs="Times New Roman"/>
                <w:b/>
                <w:sz w:val="26"/>
                <w:szCs w:val="26"/>
              </w:rPr>
            </w:pPr>
            <w:r w:rsidRPr="004F111B">
              <w:rPr>
                <w:rFonts w:ascii="Times New Roman" w:hAnsi="Times New Roman" w:cs="Times New Roman"/>
                <w:b/>
                <w:sz w:val="26"/>
                <w:szCs w:val="26"/>
                <w:lang w:bidi="en-US"/>
              </w:rPr>
              <w:t>1.1 Issuer’s full business name</w:t>
            </w:r>
          </w:p>
        </w:tc>
        <w:tc>
          <w:tcPr>
            <w:tcW w:w="6095" w:type="dxa"/>
          </w:tcPr>
          <w:p w14:paraId="39F89B42" w14:textId="77777777" w:rsidR="0045226D" w:rsidRPr="004F111B" w:rsidRDefault="00ED2616" w:rsidP="006A7084">
            <w:pPr>
              <w:pStyle w:val="a3"/>
              <w:rPr>
                <w:rFonts w:ascii="Times New Roman" w:hAnsi="Times New Roman" w:cs="Times New Roman"/>
                <w:sz w:val="26"/>
                <w:szCs w:val="26"/>
              </w:rPr>
            </w:pPr>
            <w:r w:rsidRPr="004F111B">
              <w:rPr>
                <w:rFonts w:ascii="Times New Roman" w:hAnsi="Times New Roman" w:cs="Times New Roman"/>
                <w:sz w:val="26"/>
                <w:szCs w:val="26"/>
                <w:lang w:bidi="en-US"/>
              </w:rPr>
              <w:t xml:space="preserve">Kuban Public Joint Stock Company of Power Engineering and Electrification </w:t>
            </w:r>
          </w:p>
        </w:tc>
      </w:tr>
      <w:tr w:rsidR="0045226D" w:rsidRPr="004F111B" w14:paraId="0289EA8B" w14:textId="77777777" w:rsidTr="002D2F31">
        <w:tc>
          <w:tcPr>
            <w:tcW w:w="4253" w:type="dxa"/>
          </w:tcPr>
          <w:p w14:paraId="04B90FA3" w14:textId="77777777" w:rsidR="0045226D" w:rsidRPr="004F111B" w:rsidRDefault="0045226D" w:rsidP="00802AB4">
            <w:pPr>
              <w:pStyle w:val="a3"/>
              <w:rPr>
                <w:rFonts w:ascii="Times New Roman" w:hAnsi="Times New Roman" w:cs="Times New Roman"/>
                <w:b/>
                <w:sz w:val="26"/>
                <w:szCs w:val="26"/>
              </w:rPr>
            </w:pPr>
            <w:r w:rsidRPr="004F111B">
              <w:rPr>
                <w:rFonts w:ascii="Times New Roman" w:hAnsi="Times New Roman" w:cs="Times New Roman"/>
                <w:b/>
                <w:sz w:val="26"/>
                <w:szCs w:val="26"/>
                <w:lang w:bidi="en-US"/>
              </w:rPr>
              <w:t>1.2. Issuer's short business name</w:t>
            </w:r>
          </w:p>
        </w:tc>
        <w:tc>
          <w:tcPr>
            <w:tcW w:w="6095" w:type="dxa"/>
          </w:tcPr>
          <w:p w14:paraId="4A999F87" w14:textId="77777777" w:rsidR="0045226D" w:rsidRPr="004F111B" w:rsidRDefault="00ED2616" w:rsidP="006A7084">
            <w:pPr>
              <w:pStyle w:val="a3"/>
              <w:rPr>
                <w:rFonts w:ascii="Times New Roman" w:hAnsi="Times New Roman" w:cs="Times New Roman"/>
                <w:sz w:val="26"/>
                <w:szCs w:val="26"/>
              </w:rPr>
            </w:pPr>
            <w:r w:rsidRPr="004F111B">
              <w:rPr>
                <w:rFonts w:ascii="Times New Roman" w:hAnsi="Times New Roman" w:cs="Times New Roman"/>
                <w:sz w:val="26"/>
                <w:szCs w:val="26"/>
                <w:lang w:bidi="en-US"/>
              </w:rPr>
              <w:t>Kubanenergo PJSC</w:t>
            </w:r>
          </w:p>
        </w:tc>
      </w:tr>
      <w:tr w:rsidR="0045226D" w:rsidRPr="004F111B" w14:paraId="50071C95" w14:textId="77777777" w:rsidTr="002D2F31">
        <w:trPr>
          <w:trHeight w:val="412"/>
        </w:trPr>
        <w:tc>
          <w:tcPr>
            <w:tcW w:w="4253" w:type="dxa"/>
          </w:tcPr>
          <w:p w14:paraId="7FF78A91" w14:textId="77777777" w:rsidR="0045226D" w:rsidRPr="004F111B" w:rsidRDefault="0045226D" w:rsidP="00802AB4">
            <w:pPr>
              <w:pStyle w:val="a3"/>
              <w:rPr>
                <w:rFonts w:ascii="Times New Roman" w:hAnsi="Times New Roman" w:cs="Times New Roman"/>
                <w:b/>
                <w:sz w:val="26"/>
                <w:szCs w:val="26"/>
              </w:rPr>
            </w:pPr>
            <w:r w:rsidRPr="004F111B">
              <w:rPr>
                <w:rFonts w:ascii="Times New Roman" w:hAnsi="Times New Roman" w:cs="Times New Roman"/>
                <w:b/>
                <w:sz w:val="26"/>
                <w:szCs w:val="26"/>
                <w:lang w:bidi="en-US"/>
              </w:rPr>
              <w:t>1.3. Issuer’s location</w:t>
            </w:r>
          </w:p>
        </w:tc>
        <w:tc>
          <w:tcPr>
            <w:tcW w:w="6095" w:type="dxa"/>
          </w:tcPr>
          <w:p w14:paraId="568BE618" w14:textId="77777777" w:rsidR="0045226D" w:rsidRPr="004F111B" w:rsidRDefault="0045226D" w:rsidP="00293187">
            <w:pPr>
              <w:rPr>
                <w:sz w:val="26"/>
                <w:szCs w:val="26"/>
              </w:rPr>
            </w:pPr>
            <w:r w:rsidRPr="004F111B">
              <w:rPr>
                <w:sz w:val="26"/>
                <w:szCs w:val="26"/>
                <w:lang w:bidi="en-US"/>
              </w:rPr>
              <w:t>Russian Federation, Krasnodar</w:t>
            </w:r>
          </w:p>
        </w:tc>
      </w:tr>
      <w:tr w:rsidR="0045226D" w:rsidRPr="004F111B" w14:paraId="5A1A223A" w14:textId="77777777" w:rsidTr="002D2F31">
        <w:tc>
          <w:tcPr>
            <w:tcW w:w="4253" w:type="dxa"/>
          </w:tcPr>
          <w:p w14:paraId="3BE04F41" w14:textId="77777777" w:rsidR="0045226D" w:rsidRPr="004F111B" w:rsidRDefault="0045226D" w:rsidP="00802AB4">
            <w:pPr>
              <w:pStyle w:val="a3"/>
              <w:rPr>
                <w:rFonts w:ascii="Times New Roman" w:hAnsi="Times New Roman" w:cs="Times New Roman"/>
                <w:b/>
                <w:sz w:val="26"/>
                <w:szCs w:val="26"/>
              </w:rPr>
            </w:pPr>
            <w:r w:rsidRPr="004F111B">
              <w:rPr>
                <w:rFonts w:ascii="Times New Roman" w:hAnsi="Times New Roman" w:cs="Times New Roman"/>
                <w:b/>
                <w:sz w:val="26"/>
                <w:szCs w:val="26"/>
                <w:lang w:bidi="en-US"/>
              </w:rPr>
              <w:t>1.4. Issuer’s OGRN (Primary State Registration Number)</w:t>
            </w:r>
          </w:p>
        </w:tc>
        <w:tc>
          <w:tcPr>
            <w:tcW w:w="6095" w:type="dxa"/>
          </w:tcPr>
          <w:p w14:paraId="274D4343" w14:textId="77777777" w:rsidR="0045226D" w:rsidRPr="004F111B" w:rsidRDefault="0045226D" w:rsidP="006A7084">
            <w:pPr>
              <w:pStyle w:val="a3"/>
              <w:rPr>
                <w:rFonts w:ascii="Times New Roman" w:hAnsi="Times New Roman" w:cs="Times New Roman"/>
                <w:sz w:val="26"/>
                <w:szCs w:val="26"/>
              </w:rPr>
            </w:pPr>
            <w:r w:rsidRPr="004F111B">
              <w:rPr>
                <w:rFonts w:ascii="Times New Roman" w:hAnsi="Times New Roman" w:cs="Times New Roman"/>
                <w:sz w:val="26"/>
                <w:szCs w:val="26"/>
                <w:lang w:bidi="en-US"/>
              </w:rPr>
              <w:t>1022301427268</w:t>
            </w:r>
          </w:p>
        </w:tc>
      </w:tr>
      <w:tr w:rsidR="0045226D" w:rsidRPr="004F111B" w14:paraId="3B91FFFA" w14:textId="77777777" w:rsidTr="002D2F31">
        <w:tc>
          <w:tcPr>
            <w:tcW w:w="4253" w:type="dxa"/>
          </w:tcPr>
          <w:p w14:paraId="379FF073" w14:textId="77777777" w:rsidR="0045226D" w:rsidRPr="004F111B" w:rsidRDefault="0045226D" w:rsidP="00802AB4">
            <w:pPr>
              <w:pStyle w:val="a3"/>
              <w:rPr>
                <w:rFonts w:ascii="Times New Roman" w:hAnsi="Times New Roman" w:cs="Times New Roman"/>
                <w:b/>
                <w:sz w:val="26"/>
                <w:szCs w:val="26"/>
              </w:rPr>
            </w:pPr>
            <w:r w:rsidRPr="004F111B">
              <w:rPr>
                <w:rFonts w:ascii="Times New Roman" w:hAnsi="Times New Roman" w:cs="Times New Roman"/>
                <w:b/>
                <w:sz w:val="26"/>
                <w:szCs w:val="26"/>
                <w:lang w:bidi="en-US"/>
              </w:rPr>
              <w:t>1.5. Issuer’s INN (Taxpayer Identification Number)</w:t>
            </w:r>
          </w:p>
        </w:tc>
        <w:tc>
          <w:tcPr>
            <w:tcW w:w="6095" w:type="dxa"/>
          </w:tcPr>
          <w:p w14:paraId="0DD83C67" w14:textId="77777777" w:rsidR="0045226D" w:rsidRPr="004F111B" w:rsidRDefault="0045226D" w:rsidP="006A7084">
            <w:pPr>
              <w:pStyle w:val="a3"/>
              <w:rPr>
                <w:rFonts w:ascii="Times New Roman" w:hAnsi="Times New Roman" w:cs="Times New Roman"/>
                <w:sz w:val="26"/>
                <w:szCs w:val="26"/>
              </w:rPr>
            </w:pPr>
            <w:r w:rsidRPr="004F111B">
              <w:rPr>
                <w:rFonts w:ascii="Times New Roman" w:hAnsi="Times New Roman" w:cs="Times New Roman"/>
                <w:sz w:val="26"/>
                <w:szCs w:val="26"/>
                <w:lang w:bidi="en-US"/>
              </w:rPr>
              <w:t>2309001660</w:t>
            </w:r>
          </w:p>
        </w:tc>
      </w:tr>
      <w:tr w:rsidR="0045226D" w:rsidRPr="004F111B" w14:paraId="15603C62" w14:textId="77777777" w:rsidTr="002D2F31">
        <w:tc>
          <w:tcPr>
            <w:tcW w:w="4253" w:type="dxa"/>
          </w:tcPr>
          <w:p w14:paraId="6B15FB60" w14:textId="77777777" w:rsidR="0045226D" w:rsidRPr="004F111B" w:rsidRDefault="0045226D" w:rsidP="00802AB4">
            <w:pPr>
              <w:pStyle w:val="a3"/>
              <w:rPr>
                <w:rFonts w:ascii="Times New Roman" w:hAnsi="Times New Roman" w:cs="Times New Roman"/>
                <w:b/>
                <w:sz w:val="26"/>
                <w:szCs w:val="26"/>
              </w:rPr>
            </w:pPr>
            <w:r w:rsidRPr="004F111B">
              <w:rPr>
                <w:rFonts w:ascii="Times New Roman" w:hAnsi="Times New Roman" w:cs="Times New Roman"/>
                <w:b/>
                <w:sz w:val="26"/>
                <w:szCs w:val="26"/>
                <w:lang w:bidi="en-US"/>
              </w:rPr>
              <w:t>1.6. Issuer's unique code assigned by the registering body</w:t>
            </w:r>
          </w:p>
        </w:tc>
        <w:tc>
          <w:tcPr>
            <w:tcW w:w="6095" w:type="dxa"/>
          </w:tcPr>
          <w:p w14:paraId="45597EBF" w14:textId="77777777" w:rsidR="0045226D" w:rsidRPr="004F111B" w:rsidRDefault="0045226D" w:rsidP="006A7084">
            <w:pPr>
              <w:pStyle w:val="a3"/>
              <w:tabs>
                <w:tab w:val="left" w:pos="1930"/>
              </w:tabs>
              <w:rPr>
                <w:rFonts w:ascii="Times New Roman" w:hAnsi="Times New Roman" w:cs="Times New Roman"/>
                <w:sz w:val="26"/>
                <w:szCs w:val="26"/>
              </w:rPr>
            </w:pPr>
            <w:r w:rsidRPr="004F111B">
              <w:rPr>
                <w:rFonts w:ascii="Times New Roman" w:hAnsi="Times New Roman" w:cs="Times New Roman"/>
                <w:sz w:val="26"/>
                <w:szCs w:val="26"/>
                <w:lang w:bidi="en-US"/>
              </w:rPr>
              <w:t>00063-А</w:t>
            </w:r>
          </w:p>
        </w:tc>
      </w:tr>
      <w:tr w:rsidR="0045226D" w:rsidRPr="004F111B" w14:paraId="4A232741" w14:textId="77777777" w:rsidTr="002D2F31">
        <w:tc>
          <w:tcPr>
            <w:tcW w:w="4253" w:type="dxa"/>
          </w:tcPr>
          <w:p w14:paraId="27F92AA9" w14:textId="77777777" w:rsidR="0045226D" w:rsidRPr="004F111B" w:rsidRDefault="0045226D" w:rsidP="00802AB4">
            <w:pPr>
              <w:pStyle w:val="a3"/>
              <w:rPr>
                <w:rFonts w:ascii="Times New Roman" w:hAnsi="Times New Roman" w:cs="Times New Roman"/>
                <w:b/>
                <w:sz w:val="26"/>
                <w:szCs w:val="26"/>
              </w:rPr>
            </w:pPr>
            <w:r w:rsidRPr="004F111B">
              <w:rPr>
                <w:rFonts w:ascii="Times New Roman" w:hAnsi="Times New Roman" w:cs="Times New Roman"/>
                <w:b/>
                <w:sz w:val="26"/>
                <w:szCs w:val="26"/>
                <w:lang w:bidi="en-US"/>
              </w:rPr>
              <w:t>1.7. Internet web page used by the Issuer to disclose information</w:t>
            </w:r>
          </w:p>
        </w:tc>
        <w:tc>
          <w:tcPr>
            <w:tcW w:w="6095" w:type="dxa"/>
          </w:tcPr>
          <w:p w14:paraId="1CE64B92" w14:textId="77777777" w:rsidR="00415885" w:rsidRPr="004F111B" w:rsidRDefault="00415885" w:rsidP="006A7084">
            <w:pPr>
              <w:rPr>
                <w:sz w:val="26"/>
                <w:szCs w:val="26"/>
              </w:rPr>
            </w:pPr>
            <w:r w:rsidRPr="004F111B">
              <w:rPr>
                <w:sz w:val="26"/>
                <w:szCs w:val="26"/>
                <w:lang w:bidi="en-US"/>
              </w:rPr>
              <w:t>http://</w:t>
            </w:r>
            <w:hyperlink r:id="rId8" w:history="1">
              <w:r w:rsidRPr="004F111B">
                <w:rPr>
                  <w:sz w:val="26"/>
                  <w:szCs w:val="26"/>
                  <w:lang w:bidi="en-US"/>
                </w:rPr>
                <w:t>www.kubanenergo.ru</w:t>
              </w:r>
            </w:hyperlink>
            <w:r w:rsidR="004F111B">
              <w:rPr>
                <w:sz w:val="26"/>
                <w:szCs w:val="26"/>
                <w:lang w:bidi="en-US"/>
              </w:rPr>
              <w:t xml:space="preserve"> </w:t>
            </w:r>
          </w:p>
          <w:p w14:paraId="49EDE007" w14:textId="77777777" w:rsidR="00415885" w:rsidRPr="004F111B" w:rsidRDefault="008B04F9" w:rsidP="006A7084">
            <w:pPr>
              <w:pStyle w:val="a3"/>
              <w:rPr>
                <w:rFonts w:ascii="Times New Roman" w:hAnsi="Times New Roman" w:cs="Times New Roman"/>
                <w:sz w:val="26"/>
                <w:szCs w:val="26"/>
              </w:rPr>
            </w:pPr>
            <w:hyperlink r:id="rId9" w:history="1">
              <w:r w:rsidR="00BA33B5" w:rsidRPr="004F111B">
                <w:rPr>
                  <w:rStyle w:val="af3"/>
                  <w:rFonts w:ascii="Times New Roman" w:hAnsi="Times New Roman" w:cs="Times New Roman"/>
                  <w:sz w:val="26"/>
                  <w:szCs w:val="26"/>
                  <w:lang w:bidi="en-US"/>
                </w:rPr>
                <w:t>http://www.e-disclosure.ru/portal/company.aspx?id=2827</w:t>
              </w:r>
            </w:hyperlink>
            <w:r w:rsidR="00BA33B5" w:rsidRPr="004F111B">
              <w:rPr>
                <w:rFonts w:ascii="Times New Roman" w:hAnsi="Times New Roman" w:cs="Times New Roman"/>
                <w:sz w:val="26"/>
                <w:szCs w:val="26"/>
                <w:lang w:bidi="en-US"/>
              </w:rPr>
              <w:t xml:space="preserve"> </w:t>
            </w:r>
          </w:p>
          <w:p w14:paraId="45B84B07" w14:textId="77777777" w:rsidR="00415885" w:rsidRPr="004F111B" w:rsidRDefault="00415885" w:rsidP="006A7084">
            <w:pPr>
              <w:pStyle w:val="a3"/>
              <w:rPr>
                <w:rFonts w:ascii="Times New Roman" w:hAnsi="Times New Roman" w:cs="Times New Roman"/>
                <w:sz w:val="26"/>
                <w:szCs w:val="26"/>
              </w:rPr>
            </w:pPr>
          </w:p>
        </w:tc>
      </w:tr>
      <w:tr w:rsidR="00C02B3B" w:rsidRPr="004F111B" w14:paraId="784B5B95" w14:textId="77777777" w:rsidTr="002D2F31">
        <w:tc>
          <w:tcPr>
            <w:tcW w:w="4253" w:type="dxa"/>
          </w:tcPr>
          <w:p w14:paraId="41A5CF0A" w14:textId="77777777" w:rsidR="00C02B3B" w:rsidRPr="004F111B" w:rsidRDefault="00C02B3B" w:rsidP="00802AB4">
            <w:pPr>
              <w:pStyle w:val="a3"/>
              <w:rPr>
                <w:rFonts w:ascii="Times New Roman" w:hAnsi="Times New Roman" w:cs="Times New Roman"/>
                <w:b/>
                <w:sz w:val="26"/>
                <w:szCs w:val="26"/>
              </w:rPr>
            </w:pPr>
            <w:r w:rsidRPr="004F111B">
              <w:rPr>
                <w:rFonts w:ascii="Times New Roman" w:hAnsi="Times New Roman" w:cs="Times New Roman"/>
                <w:b/>
                <w:sz w:val="26"/>
                <w:szCs w:val="26"/>
                <w:lang w:bidi="en-US"/>
              </w:rPr>
              <w:t>1.8. Date of the event (corporate action) communicated (where applicable)</w:t>
            </w:r>
          </w:p>
        </w:tc>
        <w:tc>
          <w:tcPr>
            <w:tcW w:w="6095" w:type="dxa"/>
          </w:tcPr>
          <w:p w14:paraId="11049817" w14:textId="77777777" w:rsidR="00C02B3B" w:rsidRPr="004F111B" w:rsidRDefault="002D2F31" w:rsidP="004A4158">
            <w:pPr>
              <w:rPr>
                <w:sz w:val="26"/>
                <w:szCs w:val="26"/>
              </w:rPr>
            </w:pPr>
            <w:r w:rsidRPr="004F111B">
              <w:rPr>
                <w:sz w:val="26"/>
                <w:szCs w:val="26"/>
                <w:lang w:bidi="en-US"/>
              </w:rPr>
              <w:t>01.10.2019</w:t>
            </w:r>
          </w:p>
        </w:tc>
      </w:tr>
      <w:tr w:rsidR="00E57436" w:rsidRPr="004F111B" w14:paraId="2BF21165" w14:textId="77777777" w:rsidTr="002D2F31">
        <w:tc>
          <w:tcPr>
            <w:tcW w:w="10348" w:type="dxa"/>
            <w:gridSpan w:val="2"/>
          </w:tcPr>
          <w:p w14:paraId="7E0549ED" w14:textId="77777777" w:rsidR="00E57436" w:rsidRPr="004F111B" w:rsidRDefault="00E57436" w:rsidP="006A7084">
            <w:pPr>
              <w:jc w:val="center"/>
              <w:rPr>
                <w:sz w:val="26"/>
                <w:szCs w:val="26"/>
              </w:rPr>
            </w:pPr>
            <w:r w:rsidRPr="004F111B">
              <w:rPr>
                <w:sz w:val="26"/>
                <w:szCs w:val="26"/>
                <w:lang w:bidi="en-US"/>
              </w:rPr>
              <w:t>2. Notice contents</w:t>
            </w:r>
          </w:p>
        </w:tc>
      </w:tr>
      <w:tr w:rsidR="004D0A6C" w:rsidRPr="004F111B" w14:paraId="158C6814" w14:textId="77777777" w:rsidTr="002D2F31">
        <w:trPr>
          <w:trHeight w:val="3541"/>
        </w:trPr>
        <w:tc>
          <w:tcPr>
            <w:tcW w:w="10348" w:type="dxa"/>
            <w:gridSpan w:val="2"/>
          </w:tcPr>
          <w:p w14:paraId="009212C2" w14:textId="77777777" w:rsidR="007E1E11" w:rsidRPr="004F111B" w:rsidRDefault="004D0A6C" w:rsidP="006A7084">
            <w:pPr>
              <w:pStyle w:val="a3"/>
              <w:jc w:val="both"/>
              <w:rPr>
                <w:rFonts w:ascii="Times New Roman" w:hAnsi="Times New Roman" w:cs="Times New Roman"/>
                <w:sz w:val="26"/>
                <w:szCs w:val="26"/>
              </w:rPr>
            </w:pPr>
            <w:r w:rsidRPr="004F111B">
              <w:rPr>
                <w:rFonts w:ascii="Times New Roman" w:hAnsi="Times New Roman" w:cs="Times New Roman"/>
                <w:sz w:val="26"/>
                <w:szCs w:val="26"/>
                <w:lang w:bidi="en-US"/>
              </w:rPr>
              <w:t xml:space="preserve">2.1 Quorum for the Meeting of the Issuer’s Board of Directors and results of the voting on decision-making issues: </w:t>
            </w:r>
          </w:p>
          <w:p w14:paraId="7EE63F64" w14:textId="77777777" w:rsidR="004D0A6C" w:rsidRPr="004F111B" w:rsidRDefault="004D0A6C" w:rsidP="006A7084">
            <w:pPr>
              <w:pStyle w:val="a3"/>
              <w:jc w:val="both"/>
              <w:rPr>
                <w:rFonts w:ascii="Times New Roman" w:hAnsi="Times New Roman" w:cs="Times New Roman"/>
                <w:b/>
                <w:i/>
                <w:sz w:val="26"/>
                <w:szCs w:val="26"/>
              </w:rPr>
            </w:pPr>
            <w:r w:rsidRPr="004F111B">
              <w:rPr>
                <w:rFonts w:ascii="Times New Roman" w:hAnsi="Times New Roman" w:cs="Times New Roman"/>
                <w:b/>
                <w:i/>
                <w:sz w:val="26"/>
                <w:szCs w:val="26"/>
                <w:lang w:bidi="en-US"/>
              </w:rPr>
              <w:t>Number of members of the Board of Directors: 11 persons.</w:t>
            </w:r>
          </w:p>
          <w:p w14:paraId="621AD1E5" w14:textId="77777777" w:rsidR="004D0A6C" w:rsidRPr="004F111B" w:rsidRDefault="004D0A6C" w:rsidP="006A7084">
            <w:pPr>
              <w:pStyle w:val="a3"/>
              <w:jc w:val="both"/>
              <w:rPr>
                <w:rFonts w:ascii="Times New Roman" w:hAnsi="Times New Roman" w:cs="Times New Roman"/>
                <w:b/>
                <w:i/>
                <w:sz w:val="26"/>
                <w:szCs w:val="26"/>
              </w:rPr>
            </w:pPr>
            <w:r w:rsidRPr="004F111B">
              <w:rPr>
                <w:rFonts w:ascii="Times New Roman" w:hAnsi="Times New Roman" w:cs="Times New Roman"/>
                <w:b/>
                <w:i/>
                <w:sz w:val="26"/>
                <w:szCs w:val="26"/>
                <w:lang w:bidi="en-US"/>
              </w:rPr>
              <w:t xml:space="preserve">Number of participants in the meeting: 11 persons. </w:t>
            </w:r>
          </w:p>
          <w:p w14:paraId="39F3193B" w14:textId="1EE0B901" w:rsidR="004D0A6C" w:rsidRPr="004F111B" w:rsidRDefault="004D0A6C" w:rsidP="006A7084">
            <w:pPr>
              <w:pStyle w:val="a3"/>
              <w:jc w:val="both"/>
              <w:rPr>
                <w:rFonts w:ascii="Times New Roman" w:hAnsi="Times New Roman" w:cs="Times New Roman"/>
                <w:b/>
                <w:i/>
                <w:sz w:val="26"/>
                <w:szCs w:val="26"/>
              </w:rPr>
            </w:pPr>
            <w:r w:rsidRPr="004F111B">
              <w:rPr>
                <w:rFonts w:ascii="Times New Roman" w:hAnsi="Times New Roman" w:cs="Times New Roman"/>
                <w:b/>
                <w:i/>
                <w:sz w:val="26"/>
                <w:szCs w:val="26"/>
                <w:lang w:bidi="en-US"/>
              </w:rPr>
              <w:t xml:space="preserve">The quorum for the Meeting of </w:t>
            </w:r>
            <w:r w:rsidR="008B04F9" w:rsidRPr="008B04F9">
              <w:rPr>
                <w:rFonts w:ascii="Times New Roman" w:hAnsi="Times New Roman" w:cs="Times New Roman"/>
                <w:b/>
                <w:i/>
                <w:sz w:val="26"/>
                <w:szCs w:val="26"/>
                <w:lang w:bidi="en-US"/>
              </w:rPr>
              <w:t xml:space="preserve">PJSC </w:t>
            </w:r>
            <w:r w:rsidRPr="004F111B">
              <w:rPr>
                <w:rFonts w:ascii="Times New Roman" w:hAnsi="Times New Roman" w:cs="Times New Roman"/>
                <w:b/>
                <w:i/>
                <w:sz w:val="26"/>
                <w:szCs w:val="26"/>
                <w:lang w:bidi="en-US"/>
              </w:rPr>
              <w:t>Kubanenergo’s Board of Directors is reached.</w:t>
            </w:r>
          </w:p>
          <w:p w14:paraId="3E1BBA82" w14:textId="77777777" w:rsidR="007E1E11" w:rsidRPr="004F111B" w:rsidRDefault="004D0A6C" w:rsidP="006A7084">
            <w:pPr>
              <w:pStyle w:val="a3"/>
              <w:jc w:val="center"/>
              <w:rPr>
                <w:rFonts w:ascii="Times New Roman" w:hAnsi="Times New Roman" w:cs="Times New Roman"/>
                <w:b/>
                <w:i/>
                <w:sz w:val="26"/>
                <w:szCs w:val="26"/>
              </w:rPr>
            </w:pPr>
            <w:r w:rsidRPr="004F111B">
              <w:rPr>
                <w:rFonts w:ascii="Times New Roman" w:hAnsi="Times New Roman" w:cs="Times New Roman"/>
                <w:b/>
                <w:i/>
                <w:sz w:val="26"/>
                <w:szCs w:val="26"/>
                <w:lang w:bidi="en-US"/>
              </w:rPr>
              <w:t>Voting results:</w:t>
            </w:r>
          </w:p>
          <w:tbl>
            <w:tblPr>
              <w:tblStyle w:val="a4"/>
              <w:tblW w:w="0" w:type="auto"/>
              <w:jc w:val="center"/>
              <w:tblLayout w:type="fixed"/>
              <w:tblLook w:val="04A0" w:firstRow="1" w:lastRow="0" w:firstColumn="1" w:lastColumn="0" w:noHBand="0" w:noVBand="1"/>
            </w:tblPr>
            <w:tblGrid>
              <w:gridCol w:w="1187"/>
              <w:gridCol w:w="1785"/>
              <w:gridCol w:w="1985"/>
              <w:gridCol w:w="2519"/>
            </w:tblGrid>
            <w:tr w:rsidR="007E1E11" w:rsidRPr="004F111B" w14:paraId="6D839B21" w14:textId="77777777" w:rsidTr="0022502C">
              <w:trPr>
                <w:jc w:val="center"/>
              </w:trPr>
              <w:tc>
                <w:tcPr>
                  <w:tcW w:w="1187" w:type="dxa"/>
                  <w:vMerge w:val="restart"/>
                </w:tcPr>
                <w:p w14:paraId="48CEF168" w14:textId="77777777" w:rsidR="007E1E11" w:rsidRPr="004F111B" w:rsidRDefault="007E1E11" w:rsidP="006A7084">
                  <w:pPr>
                    <w:pStyle w:val="a3"/>
                    <w:jc w:val="center"/>
                    <w:rPr>
                      <w:rFonts w:ascii="Times New Roman" w:hAnsi="Times New Roman" w:cs="Times New Roman"/>
                      <w:b/>
                      <w:sz w:val="26"/>
                      <w:szCs w:val="26"/>
                    </w:rPr>
                  </w:pPr>
                  <w:r w:rsidRPr="004F111B">
                    <w:rPr>
                      <w:rFonts w:ascii="Times New Roman" w:hAnsi="Times New Roman" w:cs="Times New Roman"/>
                      <w:b/>
                      <w:sz w:val="26"/>
                      <w:szCs w:val="26"/>
                      <w:lang w:bidi="en-US"/>
                    </w:rPr>
                    <w:t>Issue No.</w:t>
                  </w:r>
                </w:p>
              </w:tc>
              <w:tc>
                <w:tcPr>
                  <w:tcW w:w="6289" w:type="dxa"/>
                  <w:gridSpan w:val="3"/>
                </w:tcPr>
                <w:p w14:paraId="460FF700" w14:textId="77777777" w:rsidR="007E1E11" w:rsidRPr="004F111B" w:rsidRDefault="007E1E11" w:rsidP="006A7084">
                  <w:pPr>
                    <w:pStyle w:val="a3"/>
                    <w:jc w:val="center"/>
                    <w:rPr>
                      <w:rFonts w:ascii="Times New Roman" w:hAnsi="Times New Roman" w:cs="Times New Roman"/>
                      <w:b/>
                      <w:sz w:val="26"/>
                      <w:szCs w:val="26"/>
                    </w:rPr>
                  </w:pPr>
                  <w:r w:rsidRPr="004F111B">
                    <w:rPr>
                      <w:rFonts w:ascii="Times New Roman" w:hAnsi="Times New Roman" w:cs="Times New Roman"/>
                      <w:b/>
                      <w:sz w:val="26"/>
                      <w:szCs w:val="26"/>
                      <w:lang w:bidi="en-US"/>
                    </w:rPr>
                    <w:t>Number of votes</w:t>
                  </w:r>
                </w:p>
              </w:tc>
            </w:tr>
            <w:tr w:rsidR="007E1E11" w:rsidRPr="004F111B" w14:paraId="5909A27C" w14:textId="77777777" w:rsidTr="0022502C">
              <w:trPr>
                <w:jc w:val="center"/>
              </w:trPr>
              <w:tc>
                <w:tcPr>
                  <w:tcW w:w="1187" w:type="dxa"/>
                  <w:vMerge/>
                </w:tcPr>
                <w:p w14:paraId="6CE342E9" w14:textId="77777777" w:rsidR="007E1E11" w:rsidRPr="004F111B" w:rsidRDefault="007E1E11" w:rsidP="006A7084">
                  <w:pPr>
                    <w:pStyle w:val="a3"/>
                    <w:jc w:val="center"/>
                    <w:rPr>
                      <w:rFonts w:ascii="Times New Roman" w:hAnsi="Times New Roman" w:cs="Times New Roman"/>
                      <w:b/>
                      <w:sz w:val="26"/>
                      <w:szCs w:val="26"/>
                    </w:rPr>
                  </w:pPr>
                </w:p>
              </w:tc>
              <w:tc>
                <w:tcPr>
                  <w:tcW w:w="1785" w:type="dxa"/>
                </w:tcPr>
                <w:p w14:paraId="658AE3A5" w14:textId="77777777" w:rsidR="007E1E11" w:rsidRPr="004F111B" w:rsidRDefault="007E1E11" w:rsidP="006A7084">
                  <w:pPr>
                    <w:pStyle w:val="a3"/>
                    <w:jc w:val="center"/>
                    <w:rPr>
                      <w:rFonts w:ascii="Times New Roman" w:hAnsi="Times New Roman" w:cs="Times New Roman"/>
                      <w:b/>
                      <w:sz w:val="26"/>
                      <w:szCs w:val="26"/>
                    </w:rPr>
                  </w:pPr>
                  <w:r w:rsidRPr="004F111B">
                    <w:rPr>
                      <w:rFonts w:ascii="Times New Roman" w:hAnsi="Times New Roman" w:cs="Times New Roman"/>
                      <w:b/>
                      <w:sz w:val="26"/>
                      <w:szCs w:val="26"/>
                      <w:lang w:bidi="en-US"/>
                    </w:rPr>
                    <w:t>“FOR”</w:t>
                  </w:r>
                </w:p>
              </w:tc>
              <w:tc>
                <w:tcPr>
                  <w:tcW w:w="1985" w:type="dxa"/>
                </w:tcPr>
                <w:p w14:paraId="1C4C2CA7" w14:textId="77777777" w:rsidR="007E1E11" w:rsidRPr="004F111B" w:rsidRDefault="007E1E11" w:rsidP="006A7084">
                  <w:pPr>
                    <w:pStyle w:val="a3"/>
                    <w:jc w:val="center"/>
                    <w:rPr>
                      <w:rFonts w:ascii="Times New Roman" w:hAnsi="Times New Roman" w:cs="Times New Roman"/>
                      <w:b/>
                      <w:sz w:val="26"/>
                      <w:szCs w:val="26"/>
                    </w:rPr>
                  </w:pPr>
                  <w:r w:rsidRPr="004F111B">
                    <w:rPr>
                      <w:rFonts w:ascii="Times New Roman" w:hAnsi="Times New Roman" w:cs="Times New Roman"/>
                      <w:b/>
                      <w:sz w:val="26"/>
                      <w:szCs w:val="26"/>
                      <w:lang w:bidi="en-US"/>
                    </w:rPr>
                    <w:t>“AGAINST”</w:t>
                  </w:r>
                </w:p>
              </w:tc>
              <w:tc>
                <w:tcPr>
                  <w:tcW w:w="2519" w:type="dxa"/>
                </w:tcPr>
                <w:p w14:paraId="3159B1E0" w14:textId="77777777" w:rsidR="007E1E11" w:rsidRPr="004F111B" w:rsidRDefault="007E1E11" w:rsidP="006A7084">
                  <w:pPr>
                    <w:pStyle w:val="a3"/>
                    <w:jc w:val="center"/>
                    <w:rPr>
                      <w:rFonts w:ascii="Times New Roman" w:hAnsi="Times New Roman" w:cs="Times New Roman"/>
                      <w:b/>
                      <w:sz w:val="26"/>
                      <w:szCs w:val="26"/>
                    </w:rPr>
                  </w:pPr>
                  <w:r w:rsidRPr="004F111B">
                    <w:rPr>
                      <w:rFonts w:ascii="Times New Roman" w:hAnsi="Times New Roman" w:cs="Times New Roman"/>
                      <w:b/>
                      <w:sz w:val="26"/>
                      <w:szCs w:val="26"/>
                      <w:lang w:bidi="en-US"/>
                    </w:rPr>
                    <w:t>“ABSTAINED”</w:t>
                  </w:r>
                </w:p>
              </w:tc>
            </w:tr>
            <w:tr w:rsidR="007E1E11" w:rsidRPr="004F111B" w14:paraId="172E190F" w14:textId="77777777" w:rsidTr="0022502C">
              <w:trPr>
                <w:jc w:val="center"/>
              </w:trPr>
              <w:tc>
                <w:tcPr>
                  <w:tcW w:w="1187" w:type="dxa"/>
                </w:tcPr>
                <w:p w14:paraId="61AB4D28" w14:textId="77777777" w:rsidR="007E1E11" w:rsidRPr="004F111B" w:rsidRDefault="00C10CBB" w:rsidP="006A7084">
                  <w:pPr>
                    <w:pStyle w:val="a3"/>
                    <w:jc w:val="center"/>
                    <w:rPr>
                      <w:rFonts w:ascii="Times New Roman" w:hAnsi="Times New Roman" w:cs="Times New Roman"/>
                      <w:b/>
                      <w:sz w:val="26"/>
                      <w:szCs w:val="26"/>
                    </w:rPr>
                  </w:pPr>
                  <w:r w:rsidRPr="004F111B">
                    <w:rPr>
                      <w:rFonts w:ascii="Times New Roman" w:hAnsi="Times New Roman" w:cs="Times New Roman"/>
                      <w:b/>
                      <w:sz w:val="26"/>
                      <w:szCs w:val="26"/>
                      <w:lang w:bidi="en-US"/>
                    </w:rPr>
                    <w:t>1</w:t>
                  </w:r>
                </w:p>
              </w:tc>
              <w:tc>
                <w:tcPr>
                  <w:tcW w:w="1785" w:type="dxa"/>
                </w:tcPr>
                <w:p w14:paraId="03BBD6C5" w14:textId="77777777" w:rsidR="007E1E11" w:rsidRPr="004F111B" w:rsidRDefault="00411DDA" w:rsidP="002E2C8F">
                  <w:pPr>
                    <w:pStyle w:val="a3"/>
                    <w:jc w:val="center"/>
                    <w:rPr>
                      <w:rFonts w:ascii="Times New Roman" w:hAnsi="Times New Roman" w:cs="Times New Roman"/>
                      <w:b/>
                      <w:sz w:val="26"/>
                      <w:szCs w:val="26"/>
                    </w:rPr>
                  </w:pPr>
                  <w:r w:rsidRPr="004F111B">
                    <w:rPr>
                      <w:rFonts w:ascii="Times New Roman" w:hAnsi="Times New Roman" w:cs="Times New Roman"/>
                      <w:b/>
                      <w:sz w:val="26"/>
                      <w:szCs w:val="26"/>
                      <w:lang w:bidi="en-US"/>
                    </w:rPr>
                    <w:t>11</w:t>
                  </w:r>
                </w:p>
              </w:tc>
              <w:tc>
                <w:tcPr>
                  <w:tcW w:w="1985" w:type="dxa"/>
                </w:tcPr>
                <w:p w14:paraId="582AF1DF" w14:textId="77777777" w:rsidR="007E1E11" w:rsidRPr="004F111B" w:rsidRDefault="007E1E11" w:rsidP="006A7084">
                  <w:pPr>
                    <w:pStyle w:val="a3"/>
                    <w:jc w:val="center"/>
                    <w:rPr>
                      <w:rFonts w:ascii="Times New Roman" w:hAnsi="Times New Roman" w:cs="Times New Roman"/>
                      <w:b/>
                      <w:sz w:val="26"/>
                      <w:szCs w:val="26"/>
                    </w:rPr>
                  </w:pPr>
                </w:p>
              </w:tc>
              <w:tc>
                <w:tcPr>
                  <w:tcW w:w="2519" w:type="dxa"/>
                </w:tcPr>
                <w:p w14:paraId="028DDB98" w14:textId="77777777" w:rsidR="007E1E11" w:rsidRPr="004F111B" w:rsidRDefault="007E1E11" w:rsidP="006A7084">
                  <w:pPr>
                    <w:pStyle w:val="a3"/>
                    <w:jc w:val="center"/>
                    <w:rPr>
                      <w:rFonts w:ascii="Times New Roman" w:hAnsi="Times New Roman" w:cs="Times New Roman"/>
                      <w:b/>
                      <w:sz w:val="26"/>
                      <w:szCs w:val="26"/>
                    </w:rPr>
                  </w:pPr>
                </w:p>
              </w:tc>
            </w:tr>
            <w:tr w:rsidR="00294903" w:rsidRPr="004F111B" w14:paraId="597D68DD" w14:textId="77777777" w:rsidTr="0022502C">
              <w:trPr>
                <w:jc w:val="center"/>
              </w:trPr>
              <w:tc>
                <w:tcPr>
                  <w:tcW w:w="1187" w:type="dxa"/>
                </w:tcPr>
                <w:p w14:paraId="5E8408D3" w14:textId="77777777" w:rsidR="00294903" w:rsidRPr="004F111B" w:rsidRDefault="00294903" w:rsidP="006A7084">
                  <w:pPr>
                    <w:pStyle w:val="a3"/>
                    <w:jc w:val="center"/>
                    <w:rPr>
                      <w:rFonts w:ascii="Times New Roman" w:hAnsi="Times New Roman" w:cs="Times New Roman"/>
                      <w:b/>
                      <w:sz w:val="26"/>
                      <w:szCs w:val="26"/>
                    </w:rPr>
                  </w:pPr>
                  <w:r w:rsidRPr="004F111B">
                    <w:rPr>
                      <w:rFonts w:ascii="Times New Roman" w:hAnsi="Times New Roman" w:cs="Times New Roman"/>
                      <w:b/>
                      <w:sz w:val="26"/>
                      <w:szCs w:val="26"/>
                      <w:lang w:bidi="en-US"/>
                    </w:rPr>
                    <w:t>2</w:t>
                  </w:r>
                </w:p>
              </w:tc>
              <w:tc>
                <w:tcPr>
                  <w:tcW w:w="1785" w:type="dxa"/>
                </w:tcPr>
                <w:p w14:paraId="0A537639" w14:textId="77777777" w:rsidR="00294903" w:rsidRPr="004F111B" w:rsidRDefault="00294903" w:rsidP="002E2C8F">
                  <w:pPr>
                    <w:pStyle w:val="a3"/>
                    <w:jc w:val="center"/>
                    <w:rPr>
                      <w:rFonts w:ascii="Times New Roman" w:hAnsi="Times New Roman" w:cs="Times New Roman"/>
                      <w:b/>
                      <w:sz w:val="26"/>
                      <w:szCs w:val="26"/>
                    </w:rPr>
                  </w:pPr>
                  <w:r w:rsidRPr="004F111B">
                    <w:rPr>
                      <w:rFonts w:ascii="Times New Roman" w:hAnsi="Times New Roman" w:cs="Times New Roman"/>
                      <w:b/>
                      <w:sz w:val="26"/>
                      <w:szCs w:val="26"/>
                      <w:lang w:bidi="en-US"/>
                    </w:rPr>
                    <w:t>11</w:t>
                  </w:r>
                </w:p>
              </w:tc>
              <w:tc>
                <w:tcPr>
                  <w:tcW w:w="1985" w:type="dxa"/>
                </w:tcPr>
                <w:p w14:paraId="3EEB2DF1" w14:textId="77777777" w:rsidR="00294903" w:rsidRPr="004F111B" w:rsidRDefault="00294903" w:rsidP="006A7084">
                  <w:pPr>
                    <w:pStyle w:val="a3"/>
                    <w:jc w:val="center"/>
                    <w:rPr>
                      <w:rFonts w:ascii="Times New Roman" w:hAnsi="Times New Roman" w:cs="Times New Roman"/>
                      <w:b/>
                      <w:sz w:val="26"/>
                      <w:szCs w:val="26"/>
                    </w:rPr>
                  </w:pPr>
                </w:p>
              </w:tc>
              <w:tc>
                <w:tcPr>
                  <w:tcW w:w="2519" w:type="dxa"/>
                </w:tcPr>
                <w:p w14:paraId="5F4E4A18" w14:textId="77777777" w:rsidR="00294903" w:rsidRPr="004F111B" w:rsidRDefault="00294903" w:rsidP="006A7084">
                  <w:pPr>
                    <w:pStyle w:val="a3"/>
                    <w:jc w:val="center"/>
                    <w:rPr>
                      <w:rFonts w:ascii="Times New Roman" w:hAnsi="Times New Roman" w:cs="Times New Roman"/>
                      <w:b/>
                      <w:sz w:val="26"/>
                      <w:szCs w:val="26"/>
                    </w:rPr>
                  </w:pPr>
                </w:p>
              </w:tc>
            </w:tr>
            <w:tr w:rsidR="00741B96" w:rsidRPr="004F111B" w14:paraId="2CEF150A" w14:textId="77777777" w:rsidTr="0022502C">
              <w:trPr>
                <w:jc w:val="center"/>
              </w:trPr>
              <w:tc>
                <w:tcPr>
                  <w:tcW w:w="1187" w:type="dxa"/>
                </w:tcPr>
                <w:p w14:paraId="3B2CC093" w14:textId="77777777" w:rsidR="00741B96" w:rsidRPr="004F111B" w:rsidRDefault="00741B96" w:rsidP="006A7084">
                  <w:pPr>
                    <w:pStyle w:val="a3"/>
                    <w:jc w:val="center"/>
                    <w:rPr>
                      <w:rFonts w:ascii="Times New Roman" w:hAnsi="Times New Roman" w:cs="Times New Roman"/>
                      <w:b/>
                      <w:sz w:val="26"/>
                      <w:szCs w:val="26"/>
                    </w:rPr>
                  </w:pPr>
                  <w:r w:rsidRPr="004F111B">
                    <w:rPr>
                      <w:rFonts w:ascii="Times New Roman" w:hAnsi="Times New Roman" w:cs="Times New Roman"/>
                      <w:b/>
                      <w:sz w:val="26"/>
                      <w:szCs w:val="26"/>
                      <w:lang w:bidi="en-US"/>
                    </w:rPr>
                    <w:t>3</w:t>
                  </w:r>
                </w:p>
              </w:tc>
              <w:tc>
                <w:tcPr>
                  <w:tcW w:w="1785" w:type="dxa"/>
                </w:tcPr>
                <w:p w14:paraId="3EE49C85" w14:textId="77777777" w:rsidR="00741B96" w:rsidRPr="004F111B" w:rsidRDefault="00741B96" w:rsidP="00741B96">
                  <w:pPr>
                    <w:jc w:val="center"/>
                    <w:rPr>
                      <w:sz w:val="26"/>
                      <w:szCs w:val="26"/>
                    </w:rPr>
                  </w:pPr>
                  <w:r w:rsidRPr="004F111B">
                    <w:rPr>
                      <w:b/>
                      <w:sz w:val="26"/>
                      <w:szCs w:val="26"/>
                      <w:lang w:bidi="en-US"/>
                    </w:rPr>
                    <w:t>11</w:t>
                  </w:r>
                </w:p>
              </w:tc>
              <w:tc>
                <w:tcPr>
                  <w:tcW w:w="1985" w:type="dxa"/>
                </w:tcPr>
                <w:p w14:paraId="63558157" w14:textId="77777777" w:rsidR="00741B96" w:rsidRPr="004F111B" w:rsidRDefault="00741B96" w:rsidP="006A7084">
                  <w:pPr>
                    <w:pStyle w:val="a3"/>
                    <w:jc w:val="center"/>
                    <w:rPr>
                      <w:rFonts w:ascii="Times New Roman" w:hAnsi="Times New Roman" w:cs="Times New Roman"/>
                      <w:b/>
                      <w:sz w:val="26"/>
                      <w:szCs w:val="26"/>
                    </w:rPr>
                  </w:pPr>
                </w:p>
              </w:tc>
              <w:tc>
                <w:tcPr>
                  <w:tcW w:w="2519" w:type="dxa"/>
                </w:tcPr>
                <w:p w14:paraId="624FDD71" w14:textId="77777777" w:rsidR="00741B96" w:rsidRPr="004F111B" w:rsidRDefault="00741B96" w:rsidP="006A7084">
                  <w:pPr>
                    <w:pStyle w:val="a3"/>
                    <w:jc w:val="center"/>
                    <w:rPr>
                      <w:rFonts w:ascii="Times New Roman" w:hAnsi="Times New Roman" w:cs="Times New Roman"/>
                      <w:b/>
                      <w:sz w:val="26"/>
                      <w:szCs w:val="26"/>
                    </w:rPr>
                  </w:pPr>
                </w:p>
              </w:tc>
            </w:tr>
            <w:tr w:rsidR="002D2F31" w:rsidRPr="004F111B" w14:paraId="63D8701F" w14:textId="77777777" w:rsidTr="0022502C">
              <w:trPr>
                <w:jc w:val="center"/>
              </w:trPr>
              <w:tc>
                <w:tcPr>
                  <w:tcW w:w="1187" w:type="dxa"/>
                </w:tcPr>
                <w:p w14:paraId="6B06E411" w14:textId="77777777" w:rsidR="002D2F31" w:rsidRPr="004F111B" w:rsidRDefault="002D2F31" w:rsidP="006A7084">
                  <w:pPr>
                    <w:pStyle w:val="a3"/>
                    <w:jc w:val="center"/>
                    <w:rPr>
                      <w:rFonts w:ascii="Times New Roman" w:hAnsi="Times New Roman" w:cs="Times New Roman"/>
                      <w:b/>
                      <w:sz w:val="26"/>
                      <w:szCs w:val="26"/>
                    </w:rPr>
                  </w:pPr>
                  <w:r w:rsidRPr="004F111B">
                    <w:rPr>
                      <w:rFonts w:ascii="Times New Roman" w:hAnsi="Times New Roman" w:cs="Times New Roman"/>
                      <w:b/>
                      <w:sz w:val="26"/>
                      <w:szCs w:val="26"/>
                      <w:lang w:bidi="en-US"/>
                    </w:rPr>
                    <w:t>4</w:t>
                  </w:r>
                </w:p>
              </w:tc>
              <w:tc>
                <w:tcPr>
                  <w:tcW w:w="1785" w:type="dxa"/>
                </w:tcPr>
                <w:p w14:paraId="02684C4D" w14:textId="77777777" w:rsidR="002D2F31" w:rsidRPr="004F111B" w:rsidRDefault="002D2F31" w:rsidP="00741B96">
                  <w:pPr>
                    <w:jc w:val="center"/>
                    <w:rPr>
                      <w:b/>
                      <w:sz w:val="26"/>
                      <w:szCs w:val="26"/>
                    </w:rPr>
                  </w:pPr>
                  <w:r w:rsidRPr="004F111B">
                    <w:rPr>
                      <w:b/>
                      <w:sz w:val="26"/>
                      <w:szCs w:val="26"/>
                      <w:lang w:bidi="en-US"/>
                    </w:rPr>
                    <w:t>11</w:t>
                  </w:r>
                </w:p>
              </w:tc>
              <w:tc>
                <w:tcPr>
                  <w:tcW w:w="1985" w:type="dxa"/>
                </w:tcPr>
                <w:p w14:paraId="7643DDA4" w14:textId="77777777" w:rsidR="002D2F31" w:rsidRPr="004F111B" w:rsidRDefault="002D2F31" w:rsidP="006A7084">
                  <w:pPr>
                    <w:pStyle w:val="a3"/>
                    <w:jc w:val="center"/>
                    <w:rPr>
                      <w:rFonts w:ascii="Times New Roman" w:hAnsi="Times New Roman" w:cs="Times New Roman"/>
                      <w:b/>
                      <w:sz w:val="26"/>
                      <w:szCs w:val="26"/>
                    </w:rPr>
                  </w:pPr>
                </w:p>
              </w:tc>
              <w:tc>
                <w:tcPr>
                  <w:tcW w:w="2519" w:type="dxa"/>
                </w:tcPr>
                <w:p w14:paraId="249ADB36" w14:textId="77777777" w:rsidR="002D2F31" w:rsidRPr="004F111B" w:rsidRDefault="002D2F31" w:rsidP="006A7084">
                  <w:pPr>
                    <w:pStyle w:val="a3"/>
                    <w:jc w:val="center"/>
                    <w:rPr>
                      <w:rFonts w:ascii="Times New Roman" w:hAnsi="Times New Roman" w:cs="Times New Roman"/>
                      <w:b/>
                      <w:sz w:val="26"/>
                      <w:szCs w:val="26"/>
                    </w:rPr>
                  </w:pPr>
                </w:p>
              </w:tc>
            </w:tr>
            <w:tr w:rsidR="002D2F31" w:rsidRPr="004F111B" w14:paraId="2A49A015" w14:textId="77777777" w:rsidTr="0022502C">
              <w:trPr>
                <w:jc w:val="center"/>
              </w:trPr>
              <w:tc>
                <w:tcPr>
                  <w:tcW w:w="1187" w:type="dxa"/>
                </w:tcPr>
                <w:p w14:paraId="0152365F" w14:textId="77777777" w:rsidR="002D2F31" w:rsidRPr="004F111B" w:rsidRDefault="002D2F31" w:rsidP="006A7084">
                  <w:pPr>
                    <w:pStyle w:val="a3"/>
                    <w:jc w:val="center"/>
                    <w:rPr>
                      <w:rFonts w:ascii="Times New Roman" w:hAnsi="Times New Roman" w:cs="Times New Roman"/>
                      <w:b/>
                      <w:sz w:val="26"/>
                      <w:szCs w:val="26"/>
                    </w:rPr>
                  </w:pPr>
                  <w:r w:rsidRPr="004F111B">
                    <w:rPr>
                      <w:rFonts w:ascii="Times New Roman" w:hAnsi="Times New Roman" w:cs="Times New Roman"/>
                      <w:b/>
                      <w:sz w:val="26"/>
                      <w:szCs w:val="26"/>
                      <w:lang w:bidi="en-US"/>
                    </w:rPr>
                    <w:t>5</w:t>
                  </w:r>
                </w:p>
              </w:tc>
              <w:tc>
                <w:tcPr>
                  <w:tcW w:w="1785" w:type="dxa"/>
                </w:tcPr>
                <w:p w14:paraId="49FC9D92" w14:textId="77777777" w:rsidR="002D2F31" w:rsidRPr="004F111B" w:rsidRDefault="002D2F31" w:rsidP="00741B96">
                  <w:pPr>
                    <w:jc w:val="center"/>
                    <w:rPr>
                      <w:b/>
                      <w:sz w:val="26"/>
                      <w:szCs w:val="26"/>
                    </w:rPr>
                  </w:pPr>
                  <w:r w:rsidRPr="004F111B">
                    <w:rPr>
                      <w:b/>
                      <w:sz w:val="26"/>
                      <w:szCs w:val="26"/>
                      <w:lang w:bidi="en-US"/>
                    </w:rPr>
                    <w:t>11</w:t>
                  </w:r>
                </w:p>
              </w:tc>
              <w:tc>
                <w:tcPr>
                  <w:tcW w:w="1985" w:type="dxa"/>
                </w:tcPr>
                <w:p w14:paraId="7B35D9AE" w14:textId="77777777" w:rsidR="002D2F31" w:rsidRPr="004F111B" w:rsidRDefault="002D2F31" w:rsidP="006A7084">
                  <w:pPr>
                    <w:pStyle w:val="a3"/>
                    <w:jc w:val="center"/>
                    <w:rPr>
                      <w:rFonts w:ascii="Times New Roman" w:hAnsi="Times New Roman" w:cs="Times New Roman"/>
                      <w:b/>
                      <w:sz w:val="26"/>
                      <w:szCs w:val="26"/>
                    </w:rPr>
                  </w:pPr>
                </w:p>
              </w:tc>
              <w:tc>
                <w:tcPr>
                  <w:tcW w:w="2519" w:type="dxa"/>
                </w:tcPr>
                <w:p w14:paraId="5BECE63D" w14:textId="77777777" w:rsidR="002D2F31" w:rsidRPr="004F111B" w:rsidRDefault="002D2F31" w:rsidP="006A7084">
                  <w:pPr>
                    <w:pStyle w:val="a3"/>
                    <w:jc w:val="center"/>
                    <w:rPr>
                      <w:rFonts w:ascii="Times New Roman" w:hAnsi="Times New Roman" w:cs="Times New Roman"/>
                      <w:b/>
                      <w:sz w:val="26"/>
                      <w:szCs w:val="26"/>
                    </w:rPr>
                  </w:pPr>
                </w:p>
              </w:tc>
            </w:tr>
            <w:tr w:rsidR="002D2F31" w:rsidRPr="004F111B" w14:paraId="79509C01" w14:textId="77777777" w:rsidTr="0022502C">
              <w:trPr>
                <w:jc w:val="center"/>
              </w:trPr>
              <w:tc>
                <w:tcPr>
                  <w:tcW w:w="1187" w:type="dxa"/>
                </w:tcPr>
                <w:p w14:paraId="658F0B03" w14:textId="77777777" w:rsidR="002D2F31" w:rsidRPr="004F111B" w:rsidRDefault="002D2F31" w:rsidP="006A7084">
                  <w:pPr>
                    <w:pStyle w:val="a3"/>
                    <w:jc w:val="center"/>
                    <w:rPr>
                      <w:rFonts w:ascii="Times New Roman" w:hAnsi="Times New Roman" w:cs="Times New Roman"/>
                      <w:b/>
                      <w:sz w:val="26"/>
                      <w:szCs w:val="26"/>
                    </w:rPr>
                  </w:pPr>
                  <w:r w:rsidRPr="004F111B">
                    <w:rPr>
                      <w:rFonts w:ascii="Times New Roman" w:hAnsi="Times New Roman" w:cs="Times New Roman"/>
                      <w:b/>
                      <w:sz w:val="26"/>
                      <w:szCs w:val="26"/>
                      <w:lang w:bidi="en-US"/>
                    </w:rPr>
                    <w:t>6</w:t>
                  </w:r>
                </w:p>
              </w:tc>
              <w:tc>
                <w:tcPr>
                  <w:tcW w:w="1785" w:type="dxa"/>
                </w:tcPr>
                <w:p w14:paraId="3BA65392" w14:textId="77777777" w:rsidR="002D2F31" w:rsidRPr="004F111B" w:rsidRDefault="002D2F31" w:rsidP="00741B96">
                  <w:pPr>
                    <w:jc w:val="center"/>
                    <w:rPr>
                      <w:b/>
                      <w:sz w:val="26"/>
                      <w:szCs w:val="26"/>
                    </w:rPr>
                  </w:pPr>
                  <w:r w:rsidRPr="004F111B">
                    <w:rPr>
                      <w:b/>
                      <w:sz w:val="26"/>
                      <w:szCs w:val="26"/>
                      <w:lang w:bidi="en-US"/>
                    </w:rPr>
                    <w:t>11</w:t>
                  </w:r>
                </w:p>
              </w:tc>
              <w:tc>
                <w:tcPr>
                  <w:tcW w:w="1985" w:type="dxa"/>
                </w:tcPr>
                <w:p w14:paraId="76E0EDF0" w14:textId="77777777" w:rsidR="002D2F31" w:rsidRPr="004F111B" w:rsidRDefault="002D2F31" w:rsidP="006A7084">
                  <w:pPr>
                    <w:pStyle w:val="a3"/>
                    <w:jc w:val="center"/>
                    <w:rPr>
                      <w:rFonts w:ascii="Times New Roman" w:hAnsi="Times New Roman" w:cs="Times New Roman"/>
                      <w:b/>
                      <w:sz w:val="26"/>
                      <w:szCs w:val="26"/>
                    </w:rPr>
                  </w:pPr>
                </w:p>
              </w:tc>
              <w:tc>
                <w:tcPr>
                  <w:tcW w:w="2519" w:type="dxa"/>
                </w:tcPr>
                <w:p w14:paraId="2E151197" w14:textId="77777777" w:rsidR="002D2F31" w:rsidRPr="004F111B" w:rsidRDefault="002D2F31" w:rsidP="006A7084">
                  <w:pPr>
                    <w:pStyle w:val="a3"/>
                    <w:jc w:val="center"/>
                    <w:rPr>
                      <w:rFonts w:ascii="Times New Roman" w:hAnsi="Times New Roman" w:cs="Times New Roman"/>
                      <w:b/>
                      <w:sz w:val="26"/>
                      <w:szCs w:val="26"/>
                    </w:rPr>
                  </w:pPr>
                </w:p>
              </w:tc>
            </w:tr>
            <w:tr w:rsidR="002D2F31" w:rsidRPr="004F111B" w14:paraId="7D71C7CB" w14:textId="77777777" w:rsidTr="0022502C">
              <w:trPr>
                <w:jc w:val="center"/>
              </w:trPr>
              <w:tc>
                <w:tcPr>
                  <w:tcW w:w="1187" w:type="dxa"/>
                </w:tcPr>
                <w:p w14:paraId="247DBD83" w14:textId="77777777" w:rsidR="002D2F31" w:rsidRPr="004F111B" w:rsidRDefault="002D2F31" w:rsidP="006A7084">
                  <w:pPr>
                    <w:pStyle w:val="a3"/>
                    <w:jc w:val="center"/>
                    <w:rPr>
                      <w:rFonts w:ascii="Times New Roman" w:hAnsi="Times New Roman" w:cs="Times New Roman"/>
                      <w:b/>
                      <w:sz w:val="26"/>
                      <w:szCs w:val="26"/>
                    </w:rPr>
                  </w:pPr>
                  <w:r w:rsidRPr="004F111B">
                    <w:rPr>
                      <w:rFonts w:ascii="Times New Roman" w:hAnsi="Times New Roman" w:cs="Times New Roman"/>
                      <w:b/>
                      <w:sz w:val="26"/>
                      <w:szCs w:val="26"/>
                      <w:lang w:bidi="en-US"/>
                    </w:rPr>
                    <w:t>7</w:t>
                  </w:r>
                </w:p>
              </w:tc>
              <w:tc>
                <w:tcPr>
                  <w:tcW w:w="1785" w:type="dxa"/>
                </w:tcPr>
                <w:p w14:paraId="06DC1AD8" w14:textId="77777777" w:rsidR="002D2F31" w:rsidRPr="004F111B" w:rsidRDefault="002D2F31" w:rsidP="00741B96">
                  <w:pPr>
                    <w:jc w:val="center"/>
                    <w:rPr>
                      <w:b/>
                      <w:sz w:val="26"/>
                      <w:szCs w:val="26"/>
                    </w:rPr>
                  </w:pPr>
                  <w:r w:rsidRPr="004F111B">
                    <w:rPr>
                      <w:b/>
                      <w:sz w:val="26"/>
                      <w:szCs w:val="26"/>
                      <w:lang w:bidi="en-US"/>
                    </w:rPr>
                    <w:t>11</w:t>
                  </w:r>
                </w:p>
              </w:tc>
              <w:tc>
                <w:tcPr>
                  <w:tcW w:w="1985" w:type="dxa"/>
                </w:tcPr>
                <w:p w14:paraId="44FE7230" w14:textId="77777777" w:rsidR="002D2F31" w:rsidRPr="004F111B" w:rsidRDefault="002D2F31" w:rsidP="006A7084">
                  <w:pPr>
                    <w:pStyle w:val="a3"/>
                    <w:jc w:val="center"/>
                    <w:rPr>
                      <w:rFonts w:ascii="Times New Roman" w:hAnsi="Times New Roman" w:cs="Times New Roman"/>
                      <w:b/>
                      <w:sz w:val="26"/>
                      <w:szCs w:val="26"/>
                    </w:rPr>
                  </w:pPr>
                </w:p>
              </w:tc>
              <w:tc>
                <w:tcPr>
                  <w:tcW w:w="2519" w:type="dxa"/>
                </w:tcPr>
                <w:p w14:paraId="706F6B3C" w14:textId="77777777" w:rsidR="002D2F31" w:rsidRPr="004F111B" w:rsidRDefault="002D2F31" w:rsidP="006A7084">
                  <w:pPr>
                    <w:pStyle w:val="a3"/>
                    <w:jc w:val="center"/>
                    <w:rPr>
                      <w:rFonts w:ascii="Times New Roman" w:hAnsi="Times New Roman" w:cs="Times New Roman"/>
                      <w:b/>
                      <w:sz w:val="26"/>
                      <w:szCs w:val="26"/>
                    </w:rPr>
                  </w:pPr>
                </w:p>
              </w:tc>
            </w:tr>
            <w:tr w:rsidR="002D2F31" w:rsidRPr="004F111B" w14:paraId="4E51E7AF" w14:textId="77777777" w:rsidTr="0022502C">
              <w:trPr>
                <w:jc w:val="center"/>
              </w:trPr>
              <w:tc>
                <w:tcPr>
                  <w:tcW w:w="1187" w:type="dxa"/>
                </w:tcPr>
                <w:p w14:paraId="110A9F46" w14:textId="77777777" w:rsidR="002D2F31" w:rsidRPr="004F111B" w:rsidRDefault="002D2F31" w:rsidP="006A7084">
                  <w:pPr>
                    <w:pStyle w:val="a3"/>
                    <w:jc w:val="center"/>
                    <w:rPr>
                      <w:rFonts w:ascii="Times New Roman" w:hAnsi="Times New Roman" w:cs="Times New Roman"/>
                      <w:b/>
                      <w:sz w:val="26"/>
                      <w:szCs w:val="26"/>
                    </w:rPr>
                  </w:pPr>
                  <w:r w:rsidRPr="004F111B">
                    <w:rPr>
                      <w:rFonts w:ascii="Times New Roman" w:hAnsi="Times New Roman" w:cs="Times New Roman"/>
                      <w:b/>
                      <w:sz w:val="26"/>
                      <w:szCs w:val="26"/>
                      <w:lang w:bidi="en-US"/>
                    </w:rPr>
                    <w:t>8</w:t>
                  </w:r>
                </w:p>
              </w:tc>
              <w:tc>
                <w:tcPr>
                  <w:tcW w:w="1785" w:type="dxa"/>
                </w:tcPr>
                <w:p w14:paraId="5F8D02E4" w14:textId="77777777" w:rsidR="002D2F31" w:rsidRPr="004F111B" w:rsidRDefault="002D2F31" w:rsidP="00741B96">
                  <w:pPr>
                    <w:jc w:val="center"/>
                    <w:rPr>
                      <w:b/>
                      <w:sz w:val="26"/>
                      <w:szCs w:val="26"/>
                    </w:rPr>
                  </w:pPr>
                  <w:r w:rsidRPr="004F111B">
                    <w:rPr>
                      <w:b/>
                      <w:sz w:val="26"/>
                      <w:szCs w:val="26"/>
                      <w:lang w:bidi="en-US"/>
                    </w:rPr>
                    <w:t>11</w:t>
                  </w:r>
                </w:p>
              </w:tc>
              <w:tc>
                <w:tcPr>
                  <w:tcW w:w="1985" w:type="dxa"/>
                </w:tcPr>
                <w:p w14:paraId="3FB4C317" w14:textId="77777777" w:rsidR="002D2F31" w:rsidRPr="004F111B" w:rsidRDefault="002D2F31" w:rsidP="006A7084">
                  <w:pPr>
                    <w:pStyle w:val="a3"/>
                    <w:jc w:val="center"/>
                    <w:rPr>
                      <w:rFonts w:ascii="Times New Roman" w:hAnsi="Times New Roman" w:cs="Times New Roman"/>
                      <w:b/>
                      <w:sz w:val="26"/>
                      <w:szCs w:val="26"/>
                    </w:rPr>
                  </w:pPr>
                </w:p>
              </w:tc>
              <w:tc>
                <w:tcPr>
                  <w:tcW w:w="2519" w:type="dxa"/>
                </w:tcPr>
                <w:p w14:paraId="14AD102A" w14:textId="77777777" w:rsidR="002D2F31" w:rsidRPr="004F111B" w:rsidRDefault="002D2F31" w:rsidP="006A7084">
                  <w:pPr>
                    <w:pStyle w:val="a3"/>
                    <w:jc w:val="center"/>
                    <w:rPr>
                      <w:rFonts w:ascii="Times New Roman" w:hAnsi="Times New Roman" w:cs="Times New Roman"/>
                      <w:b/>
                      <w:sz w:val="26"/>
                      <w:szCs w:val="26"/>
                    </w:rPr>
                  </w:pPr>
                </w:p>
              </w:tc>
            </w:tr>
          </w:tbl>
          <w:p w14:paraId="373208E7" w14:textId="77777777" w:rsidR="004D0A6C" w:rsidRPr="004F111B" w:rsidRDefault="004D0A6C" w:rsidP="001C064D">
            <w:pPr>
              <w:pStyle w:val="a3"/>
              <w:jc w:val="both"/>
              <w:rPr>
                <w:rFonts w:ascii="Times New Roman" w:hAnsi="Times New Roman" w:cs="Times New Roman"/>
                <w:sz w:val="26"/>
                <w:szCs w:val="26"/>
              </w:rPr>
            </w:pPr>
          </w:p>
        </w:tc>
      </w:tr>
      <w:tr w:rsidR="004D0A6C" w:rsidRPr="004F111B" w14:paraId="5FB770E5" w14:textId="77777777" w:rsidTr="002D2F31">
        <w:tc>
          <w:tcPr>
            <w:tcW w:w="10348" w:type="dxa"/>
            <w:gridSpan w:val="2"/>
          </w:tcPr>
          <w:p w14:paraId="468178CB" w14:textId="77777777" w:rsidR="004D0A6C" w:rsidRPr="004F111B" w:rsidRDefault="004D0A6C" w:rsidP="00290EAF">
            <w:pPr>
              <w:pStyle w:val="a3"/>
              <w:jc w:val="center"/>
              <w:rPr>
                <w:rFonts w:ascii="Times New Roman" w:hAnsi="Times New Roman" w:cs="Times New Roman"/>
                <w:b/>
                <w:sz w:val="26"/>
                <w:szCs w:val="26"/>
              </w:rPr>
            </w:pPr>
            <w:r w:rsidRPr="004F111B">
              <w:rPr>
                <w:rFonts w:ascii="Times New Roman" w:hAnsi="Times New Roman" w:cs="Times New Roman"/>
                <w:b/>
                <w:sz w:val="26"/>
                <w:szCs w:val="26"/>
                <w:lang w:bidi="en-US"/>
              </w:rPr>
              <w:t>Insider information disclosure</w:t>
            </w:r>
          </w:p>
          <w:p w14:paraId="7003E00E" w14:textId="386F3F12" w:rsidR="004D0A6C" w:rsidRPr="004F111B" w:rsidRDefault="00212EFE" w:rsidP="002D2F31">
            <w:pPr>
              <w:jc w:val="both"/>
              <w:rPr>
                <w:sz w:val="26"/>
                <w:szCs w:val="26"/>
              </w:rPr>
            </w:pPr>
            <w:r w:rsidRPr="004F111B">
              <w:rPr>
                <w:b/>
                <w:sz w:val="26"/>
                <w:szCs w:val="26"/>
                <w:lang w:bidi="en-US"/>
              </w:rPr>
              <w:t xml:space="preserve">Issue 1 On Approving the 2018 Progress Report on </w:t>
            </w:r>
            <w:r w:rsidR="008B04F9" w:rsidRPr="008B04F9">
              <w:rPr>
                <w:b/>
                <w:sz w:val="26"/>
                <w:szCs w:val="26"/>
                <w:lang w:bidi="en-US"/>
              </w:rPr>
              <w:t xml:space="preserve">PJSC </w:t>
            </w:r>
            <w:r w:rsidRPr="004F111B">
              <w:rPr>
                <w:b/>
                <w:sz w:val="26"/>
                <w:szCs w:val="26"/>
                <w:lang w:bidi="en-US"/>
              </w:rPr>
              <w:t>Kubanenergo’s Innovative Development Program.</w:t>
            </w:r>
          </w:p>
        </w:tc>
      </w:tr>
      <w:tr w:rsidR="00471361" w:rsidRPr="004F111B" w14:paraId="721930FC" w14:textId="77777777" w:rsidTr="002D2F31">
        <w:trPr>
          <w:trHeight w:val="848"/>
        </w:trPr>
        <w:tc>
          <w:tcPr>
            <w:tcW w:w="10348" w:type="dxa"/>
            <w:gridSpan w:val="2"/>
          </w:tcPr>
          <w:p w14:paraId="1B72EC1E" w14:textId="77777777" w:rsidR="00471361" w:rsidRPr="004F111B" w:rsidRDefault="00471361" w:rsidP="00AA7EC8">
            <w:pPr>
              <w:pStyle w:val="a3"/>
              <w:jc w:val="both"/>
              <w:rPr>
                <w:rFonts w:ascii="Times New Roman" w:hAnsi="Times New Roman" w:cs="Times New Roman"/>
                <w:sz w:val="26"/>
                <w:szCs w:val="26"/>
              </w:rPr>
            </w:pPr>
            <w:r w:rsidRPr="004F111B">
              <w:rPr>
                <w:rFonts w:ascii="Times New Roman" w:hAnsi="Times New Roman" w:cs="Times New Roman"/>
                <w:sz w:val="26"/>
                <w:szCs w:val="26"/>
                <w:lang w:bidi="en-US"/>
              </w:rPr>
              <w:t>2.2.1. Contents of the decisions taken by the Issuer’s Board of Directors:</w:t>
            </w:r>
          </w:p>
          <w:p w14:paraId="22D8F618" w14:textId="6FFE7309" w:rsidR="002D2F31" w:rsidRPr="004F111B" w:rsidRDefault="002D2F31" w:rsidP="002D2F31">
            <w:pPr>
              <w:widowControl w:val="0"/>
              <w:tabs>
                <w:tab w:val="left" w:pos="540"/>
                <w:tab w:val="left" w:pos="1134"/>
              </w:tabs>
              <w:ind w:right="-2" w:firstLine="602"/>
              <w:jc w:val="both"/>
              <w:rPr>
                <w:i/>
                <w:sz w:val="26"/>
                <w:szCs w:val="26"/>
              </w:rPr>
            </w:pPr>
            <w:r w:rsidRPr="004F111B">
              <w:rPr>
                <w:i/>
                <w:sz w:val="26"/>
                <w:szCs w:val="26"/>
                <w:lang w:bidi="en-US"/>
              </w:rPr>
              <w:t>1.</w:t>
            </w:r>
            <w:r w:rsidR="001F653F">
              <w:rPr>
                <w:i/>
                <w:sz w:val="26"/>
                <w:szCs w:val="26"/>
                <w:lang w:bidi="en-US"/>
              </w:rPr>
              <w:t xml:space="preserve"> </w:t>
            </w:r>
            <w:r w:rsidRPr="004F111B">
              <w:rPr>
                <w:i/>
                <w:sz w:val="26"/>
                <w:szCs w:val="26"/>
                <w:lang w:bidi="en-US"/>
              </w:rPr>
              <w:t>Approve the 2018 Progress Report on</w:t>
            </w:r>
            <w:r w:rsidR="008B04F9">
              <w:t xml:space="preserve"> </w:t>
            </w:r>
            <w:r w:rsidR="008B04F9" w:rsidRPr="008B04F9">
              <w:rPr>
                <w:i/>
                <w:sz w:val="26"/>
                <w:szCs w:val="26"/>
                <w:lang w:bidi="en-US"/>
              </w:rPr>
              <w:t>PJSC</w:t>
            </w:r>
            <w:r w:rsidRPr="004F111B">
              <w:rPr>
                <w:i/>
                <w:sz w:val="26"/>
                <w:szCs w:val="26"/>
                <w:lang w:bidi="en-US"/>
              </w:rPr>
              <w:t xml:space="preserve"> Kubanenergo’s Innovative Development Program in accordance with Appendix 1 hereto.</w:t>
            </w:r>
          </w:p>
          <w:p w14:paraId="7865BD39" w14:textId="77777777" w:rsidR="00E10D4D" w:rsidRPr="004F111B" w:rsidRDefault="002D2F31" w:rsidP="002D2F31">
            <w:pPr>
              <w:widowControl w:val="0"/>
              <w:tabs>
                <w:tab w:val="left" w:pos="540"/>
                <w:tab w:val="left" w:pos="1134"/>
              </w:tabs>
              <w:ind w:right="-2" w:firstLine="602"/>
              <w:jc w:val="both"/>
              <w:rPr>
                <w:i/>
                <w:sz w:val="26"/>
                <w:szCs w:val="26"/>
                <w:highlight w:val="lightGray"/>
              </w:rPr>
            </w:pPr>
            <w:r w:rsidRPr="004F111B">
              <w:rPr>
                <w:i/>
                <w:sz w:val="26"/>
                <w:szCs w:val="26"/>
                <w:lang w:bidi="en-US"/>
              </w:rPr>
              <w:t>2.</w:t>
            </w:r>
            <w:r w:rsidR="001F653F">
              <w:rPr>
                <w:i/>
                <w:sz w:val="26"/>
                <w:szCs w:val="26"/>
                <w:lang w:bidi="en-US"/>
              </w:rPr>
              <w:t xml:space="preserve"> </w:t>
            </w:r>
            <w:r w:rsidRPr="004F111B">
              <w:rPr>
                <w:i/>
                <w:sz w:val="26"/>
                <w:szCs w:val="26"/>
                <w:lang w:bidi="en-US"/>
              </w:rPr>
              <w:t xml:space="preserve">Commission the Company’s General Director to ensure that the performance targets set by the Company’s Innovative Development Program are met without fail. </w:t>
            </w:r>
          </w:p>
        </w:tc>
      </w:tr>
      <w:tr w:rsidR="00294903" w:rsidRPr="004F111B" w14:paraId="75A6EF1C" w14:textId="77777777" w:rsidTr="002D2F31">
        <w:tc>
          <w:tcPr>
            <w:tcW w:w="10348" w:type="dxa"/>
            <w:gridSpan w:val="2"/>
          </w:tcPr>
          <w:p w14:paraId="4B79285C" w14:textId="77777777" w:rsidR="00294903" w:rsidRPr="004F111B" w:rsidRDefault="00294903" w:rsidP="00C546A3">
            <w:pPr>
              <w:pStyle w:val="a3"/>
              <w:jc w:val="center"/>
              <w:rPr>
                <w:rFonts w:ascii="Times New Roman" w:hAnsi="Times New Roman" w:cs="Times New Roman"/>
                <w:b/>
                <w:sz w:val="26"/>
                <w:szCs w:val="26"/>
              </w:rPr>
            </w:pPr>
            <w:r w:rsidRPr="004F111B">
              <w:rPr>
                <w:rFonts w:ascii="Times New Roman" w:hAnsi="Times New Roman" w:cs="Times New Roman"/>
                <w:b/>
                <w:sz w:val="26"/>
                <w:szCs w:val="26"/>
                <w:lang w:bidi="en-US"/>
              </w:rPr>
              <w:t>Insider information disclosure</w:t>
            </w:r>
          </w:p>
          <w:p w14:paraId="020E3229" w14:textId="12490A31" w:rsidR="00294903" w:rsidRPr="004F111B" w:rsidRDefault="00294903" w:rsidP="00C546A3">
            <w:pPr>
              <w:jc w:val="both"/>
              <w:rPr>
                <w:sz w:val="26"/>
                <w:szCs w:val="26"/>
              </w:rPr>
            </w:pPr>
            <w:r w:rsidRPr="004F111B">
              <w:rPr>
                <w:b/>
                <w:sz w:val="26"/>
                <w:szCs w:val="26"/>
                <w:lang w:bidi="en-US"/>
              </w:rPr>
              <w:t xml:space="preserve">Issue 2 </w:t>
            </w:r>
            <w:r w:rsidRPr="004F111B">
              <w:rPr>
                <w:b/>
                <w:i/>
                <w:sz w:val="26"/>
                <w:szCs w:val="26"/>
                <w:lang w:bidi="en-US"/>
              </w:rPr>
              <w:t xml:space="preserve">On Reviewing the 2019 Q1 Performance Report on the RAS-Based and IFRS-Based Consolidated Business Plans of </w:t>
            </w:r>
            <w:r w:rsidR="008B04F9" w:rsidRPr="008B04F9">
              <w:rPr>
                <w:b/>
                <w:i/>
                <w:sz w:val="26"/>
                <w:szCs w:val="26"/>
                <w:lang w:bidi="en-US"/>
              </w:rPr>
              <w:t xml:space="preserve">PJSC </w:t>
            </w:r>
            <w:r w:rsidRPr="004F111B">
              <w:rPr>
                <w:b/>
                <w:i/>
                <w:sz w:val="26"/>
                <w:szCs w:val="26"/>
                <w:lang w:bidi="en-US"/>
              </w:rPr>
              <w:t>Kubanenergo’s Group.</w:t>
            </w:r>
          </w:p>
        </w:tc>
      </w:tr>
      <w:tr w:rsidR="00294903" w:rsidRPr="004F111B" w14:paraId="386D73A4" w14:textId="77777777" w:rsidTr="002D2F31">
        <w:trPr>
          <w:trHeight w:val="848"/>
        </w:trPr>
        <w:tc>
          <w:tcPr>
            <w:tcW w:w="10348" w:type="dxa"/>
            <w:gridSpan w:val="2"/>
          </w:tcPr>
          <w:p w14:paraId="2030096D" w14:textId="77777777" w:rsidR="00294903" w:rsidRPr="004F111B" w:rsidRDefault="00294903" w:rsidP="0029319D">
            <w:pPr>
              <w:pStyle w:val="a3"/>
              <w:jc w:val="both"/>
              <w:rPr>
                <w:rFonts w:ascii="Times New Roman" w:hAnsi="Times New Roman" w:cs="Times New Roman"/>
                <w:sz w:val="26"/>
                <w:szCs w:val="26"/>
              </w:rPr>
            </w:pPr>
            <w:r w:rsidRPr="004F111B">
              <w:rPr>
                <w:rFonts w:ascii="Times New Roman" w:hAnsi="Times New Roman" w:cs="Times New Roman"/>
                <w:sz w:val="26"/>
                <w:szCs w:val="26"/>
                <w:lang w:bidi="en-US"/>
              </w:rPr>
              <w:lastRenderedPageBreak/>
              <w:t>2.2.2. Contents of the decisions taken by the Issuer’s Board of Directors:</w:t>
            </w:r>
          </w:p>
          <w:p w14:paraId="6DE65590" w14:textId="5BCC0983" w:rsidR="00294903" w:rsidRPr="004F111B" w:rsidRDefault="002D2F31" w:rsidP="004F111B">
            <w:pPr>
              <w:widowControl w:val="0"/>
              <w:tabs>
                <w:tab w:val="left" w:pos="1134"/>
              </w:tabs>
              <w:ind w:firstLine="602"/>
              <w:jc w:val="both"/>
              <w:rPr>
                <w:i/>
                <w:sz w:val="26"/>
                <w:szCs w:val="26"/>
                <w:highlight w:val="lightGray"/>
              </w:rPr>
            </w:pPr>
            <w:r w:rsidRPr="004F111B">
              <w:rPr>
                <w:i/>
                <w:sz w:val="26"/>
                <w:szCs w:val="26"/>
                <w:lang w:bidi="en-US"/>
              </w:rPr>
              <w:t>Take note of the 2019 Q1 Performance Report on the RAS-Based and IFRS-Based Consolidated Business Plans</w:t>
            </w:r>
            <w:r w:rsidR="004F111B" w:rsidRPr="004F111B">
              <w:rPr>
                <w:i/>
                <w:sz w:val="26"/>
                <w:szCs w:val="26"/>
                <w:lang w:bidi="en-US"/>
              </w:rPr>
              <w:t xml:space="preserve"> </w:t>
            </w:r>
            <w:r w:rsidRPr="004F111B">
              <w:rPr>
                <w:i/>
                <w:sz w:val="26"/>
                <w:szCs w:val="26"/>
                <w:lang w:bidi="en-US"/>
              </w:rPr>
              <w:t>of</w:t>
            </w:r>
            <w:r w:rsidR="008B04F9">
              <w:t xml:space="preserve"> </w:t>
            </w:r>
            <w:r w:rsidR="008B04F9" w:rsidRPr="008B04F9">
              <w:rPr>
                <w:i/>
                <w:sz w:val="26"/>
                <w:szCs w:val="26"/>
                <w:lang w:bidi="en-US"/>
              </w:rPr>
              <w:t>PJSC</w:t>
            </w:r>
            <w:r w:rsidRPr="004F111B">
              <w:rPr>
                <w:i/>
                <w:sz w:val="26"/>
                <w:szCs w:val="26"/>
                <w:lang w:bidi="en-US"/>
              </w:rPr>
              <w:t xml:space="preserve"> Kubanenergo’s Group in accordance with Appendices 2-3 hereto.</w:t>
            </w:r>
          </w:p>
        </w:tc>
      </w:tr>
      <w:tr w:rsidR="002D2F31" w:rsidRPr="004F111B" w14:paraId="0A04A5E5" w14:textId="77777777" w:rsidTr="002D2F31">
        <w:tc>
          <w:tcPr>
            <w:tcW w:w="10348" w:type="dxa"/>
            <w:gridSpan w:val="2"/>
          </w:tcPr>
          <w:p w14:paraId="59FA3E02" w14:textId="77777777" w:rsidR="002D2F31" w:rsidRPr="004F111B" w:rsidRDefault="002D2F31" w:rsidP="007761E3">
            <w:pPr>
              <w:pStyle w:val="a3"/>
              <w:jc w:val="center"/>
              <w:rPr>
                <w:rFonts w:ascii="Times New Roman" w:hAnsi="Times New Roman" w:cs="Times New Roman"/>
                <w:b/>
                <w:sz w:val="26"/>
                <w:szCs w:val="26"/>
              </w:rPr>
            </w:pPr>
            <w:r w:rsidRPr="004F111B">
              <w:rPr>
                <w:rFonts w:ascii="Times New Roman" w:hAnsi="Times New Roman" w:cs="Times New Roman"/>
                <w:b/>
                <w:sz w:val="26"/>
                <w:szCs w:val="26"/>
                <w:lang w:bidi="en-US"/>
              </w:rPr>
              <w:t>Insider information disclosure</w:t>
            </w:r>
          </w:p>
          <w:p w14:paraId="7029ADFD" w14:textId="77777777" w:rsidR="002D2F31" w:rsidRPr="004F111B" w:rsidRDefault="002D2F31" w:rsidP="002D2F31">
            <w:pPr>
              <w:jc w:val="both"/>
              <w:rPr>
                <w:sz w:val="26"/>
                <w:szCs w:val="26"/>
              </w:rPr>
            </w:pPr>
            <w:r w:rsidRPr="004F111B">
              <w:rPr>
                <w:b/>
                <w:sz w:val="26"/>
                <w:szCs w:val="26"/>
                <w:lang w:bidi="en-US"/>
              </w:rPr>
              <w:t xml:space="preserve">Issue 3 </w:t>
            </w:r>
            <w:r w:rsidRPr="004F111B">
              <w:rPr>
                <w:b/>
                <w:i/>
                <w:sz w:val="26"/>
                <w:szCs w:val="26"/>
                <w:lang w:bidi="en-US"/>
              </w:rPr>
              <w:t>On Reviewing the General Director’s 2019 Q1 Report on Providing Insurance Coverage within the Company.</w:t>
            </w:r>
          </w:p>
        </w:tc>
      </w:tr>
      <w:tr w:rsidR="002D2F31" w:rsidRPr="004F111B" w14:paraId="4D1C7AAB" w14:textId="77777777" w:rsidTr="002D2F31">
        <w:trPr>
          <w:trHeight w:val="848"/>
        </w:trPr>
        <w:tc>
          <w:tcPr>
            <w:tcW w:w="10348" w:type="dxa"/>
            <w:gridSpan w:val="2"/>
          </w:tcPr>
          <w:p w14:paraId="6F5CF3B7" w14:textId="77777777" w:rsidR="002D2F31" w:rsidRPr="004F111B" w:rsidRDefault="002D2F31" w:rsidP="007761E3">
            <w:pPr>
              <w:pStyle w:val="a3"/>
              <w:jc w:val="both"/>
              <w:rPr>
                <w:rFonts w:ascii="Times New Roman" w:hAnsi="Times New Roman" w:cs="Times New Roman"/>
                <w:sz w:val="26"/>
                <w:szCs w:val="26"/>
              </w:rPr>
            </w:pPr>
            <w:r w:rsidRPr="004F111B">
              <w:rPr>
                <w:rFonts w:ascii="Times New Roman" w:hAnsi="Times New Roman" w:cs="Times New Roman"/>
                <w:sz w:val="26"/>
                <w:szCs w:val="26"/>
                <w:lang w:bidi="en-US"/>
              </w:rPr>
              <w:t>2.2.3. Contents of the decisions taken by the Issuer’s Board of Directors:</w:t>
            </w:r>
          </w:p>
          <w:p w14:paraId="5BFEB627" w14:textId="77777777" w:rsidR="002D2F31" w:rsidRPr="004F111B" w:rsidRDefault="002D2F31" w:rsidP="002D2F31">
            <w:pPr>
              <w:widowControl w:val="0"/>
              <w:tabs>
                <w:tab w:val="left" w:pos="540"/>
                <w:tab w:val="left" w:pos="1134"/>
              </w:tabs>
              <w:ind w:right="-2" w:firstLine="602"/>
              <w:jc w:val="both"/>
              <w:rPr>
                <w:bCs/>
                <w:i/>
                <w:sz w:val="26"/>
                <w:szCs w:val="26"/>
              </w:rPr>
            </w:pPr>
            <w:r w:rsidRPr="004F111B">
              <w:rPr>
                <w:i/>
                <w:sz w:val="26"/>
                <w:szCs w:val="26"/>
                <w:lang w:bidi="en-US"/>
              </w:rPr>
              <w:t>1.</w:t>
            </w:r>
            <w:r w:rsidR="001F653F">
              <w:rPr>
                <w:i/>
                <w:sz w:val="26"/>
                <w:szCs w:val="26"/>
                <w:lang w:bidi="en-US"/>
              </w:rPr>
              <w:t xml:space="preserve"> </w:t>
            </w:r>
            <w:r w:rsidRPr="004F111B">
              <w:rPr>
                <w:i/>
                <w:sz w:val="26"/>
                <w:szCs w:val="26"/>
                <w:lang w:bidi="en-US"/>
              </w:rPr>
              <w:t>Take note of the General Director’s 2019 Q1 Report on Providing Insurance Coverage within the Company in accordance with Appendix 4 hereto.</w:t>
            </w:r>
          </w:p>
          <w:p w14:paraId="559EEDFA" w14:textId="77777777" w:rsidR="002D2F31" w:rsidRPr="004F111B" w:rsidRDefault="002D2F31" w:rsidP="002D2F31">
            <w:pPr>
              <w:widowControl w:val="0"/>
              <w:tabs>
                <w:tab w:val="left" w:pos="540"/>
                <w:tab w:val="left" w:pos="1134"/>
              </w:tabs>
              <w:ind w:right="-2" w:firstLine="602"/>
              <w:jc w:val="both"/>
              <w:rPr>
                <w:i/>
                <w:sz w:val="26"/>
                <w:szCs w:val="26"/>
                <w:highlight w:val="lightGray"/>
              </w:rPr>
            </w:pPr>
            <w:r w:rsidRPr="004F111B">
              <w:rPr>
                <w:i/>
                <w:sz w:val="26"/>
                <w:szCs w:val="26"/>
                <w:lang w:bidi="en-US"/>
              </w:rPr>
              <w:t>2.</w:t>
            </w:r>
            <w:r w:rsidR="001F653F">
              <w:rPr>
                <w:i/>
                <w:sz w:val="26"/>
                <w:szCs w:val="26"/>
                <w:lang w:bidi="en-US"/>
              </w:rPr>
              <w:t xml:space="preserve"> </w:t>
            </w:r>
            <w:r w:rsidRPr="004F111B">
              <w:rPr>
                <w:i/>
                <w:sz w:val="26"/>
                <w:szCs w:val="26"/>
                <w:lang w:bidi="en-US"/>
              </w:rPr>
              <w:t xml:space="preserve">Commision the Company’s General Director to eliminate failures to comply with the requirements of the Insurance Coverage Provision approved by the Company’s Board of Directors. </w:t>
            </w:r>
          </w:p>
        </w:tc>
      </w:tr>
      <w:tr w:rsidR="002D2F31" w:rsidRPr="004F111B" w14:paraId="793D71ED" w14:textId="77777777" w:rsidTr="002D2F31">
        <w:tc>
          <w:tcPr>
            <w:tcW w:w="10348" w:type="dxa"/>
            <w:gridSpan w:val="2"/>
          </w:tcPr>
          <w:p w14:paraId="589ACCB5" w14:textId="77777777" w:rsidR="002D2F31" w:rsidRPr="004F111B" w:rsidRDefault="002D2F31" w:rsidP="007761E3">
            <w:pPr>
              <w:pStyle w:val="a3"/>
              <w:jc w:val="center"/>
              <w:rPr>
                <w:rFonts w:ascii="Times New Roman" w:hAnsi="Times New Roman" w:cs="Times New Roman"/>
                <w:b/>
                <w:sz w:val="26"/>
                <w:szCs w:val="26"/>
              </w:rPr>
            </w:pPr>
            <w:r w:rsidRPr="004F111B">
              <w:rPr>
                <w:rFonts w:ascii="Times New Roman" w:hAnsi="Times New Roman" w:cs="Times New Roman"/>
                <w:b/>
                <w:sz w:val="26"/>
                <w:szCs w:val="26"/>
                <w:lang w:bidi="en-US"/>
              </w:rPr>
              <w:t>Insider information disclosure</w:t>
            </w:r>
          </w:p>
          <w:p w14:paraId="45AC2CBF" w14:textId="232833FF" w:rsidR="002D2F31" w:rsidRPr="004F111B" w:rsidRDefault="002D2F31" w:rsidP="007761E3">
            <w:pPr>
              <w:jc w:val="both"/>
              <w:rPr>
                <w:sz w:val="26"/>
                <w:szCs w:val="26"/>
              </w:rPr>
            </w:pPr>
            <w:r w:rsidRPr="004F111B">
              <w:rPr>
                <w:b/>
                <w:sz w:val="26"/>
                <w:szCs w:val="26"/>
                <w:lang w:bidi="en-US"/>
              </w:rPr>
              <w:t>Issue 4</w:t>
            </w:r>
            <w:r w:rsidRPr="004F111B">
              <w:rPr>
                <w:b/>
                <w:i/>
                <w:sz w:val="26"/>
                <w:szCs w:val="26"/>
                <w:lang w:bidi="en-US"/>
              </w:rPr>
              <w:t xml:space="preserve"> On Approving the Insurer for </w:t>
            </w:r>
            <w:r w:rsidR="008B04F9" w:rsidRPr="008B04F9">
              <w:rPr>
                <w:b/>
                <w:i/>
                <w:sz w:val="26"/>
                <w:szCs w:val="26"/>
                <w:lang w:bidi="en-US"/>
              </w:rPr>
              <w:t xml:space="preserve">PJSC </w:t>
            </w:r>
            <w:r w:rsidRPr="004F111B">
              <w:rPr>
                <w:b/>
                <w:i/>
                <w:sz w:val="26"/>
                <w:szCs w:val="26"/>
                <w:lang w:bidi="en-US"/>
              </w:rPr>
              <w:t>Kubanenergo.</w:t>
            </w:r>
          </w:p>
        </w:tc>
      </w:tr>
      <w:tr w:rsidR="002D2F31" w:rsidRPr="004F111B" w14:paraId="263E2771" w14:textId="77777777" w:rsidTr="00D26F31">
        <w:trPr>
          <w:trHeight w:val="4188"/>
        </w:trPr>
        <w:tc>
          <w:tcPr>
            <w:tcW w:w="10348" w:type="dxa"/>
            <w:gridSpan w:val="2"/>
          </w:tcPr>
          <w:p w14:paraId="4548896F" w14:textId="77777777" w:rsidR="002D2F31" w:rsidRPr="004F111B" w:rsidRDefault="002D2F31" w:rsidP="007761E3">
            <w:pPr>
              <w:pStyle w:val="a3"/>
              <w:jc w:val="both"/>
              <w:rPr>
                <w:rFonts w:ascii="Times New Roman" w:hAnsi="Times New Roman" w:cs="Times New Roman"/>
                <w:sz w:val="26"/>
                <w:szCs w:val="26"/>
              </w:rPr>
            </w:pPr>
            <w:r w:rsidRPr="004F111B">
              <w:rPr>
                <w:rFonts w:ascii="Times New Roman" w:hAnsi="Times New Roman" w:cs="Times New Roman"/>
                <w:sz w:val="26"/>
                <w:szCs w:val="26"/>
                <w:lang w:bidi="en-US"/>
              </w:rPr>
              <w:t>2.2.4. Contents of the decisions taken by the Issuer’s Board of Directors:</w:t>
            </w:r>
          </w:p>
          <w:p w14:paraId="0ACD3661" w14:textId="77777777" w:rsidR="002D2F31" w:rsidRPr="004F111B" w:rsidRDefault="002D2F31" w:rsidP="002D2F31">
            <w:pPr>
              <w:widowControl w:val="0"/>
              <w:tabs>
                <w:tab w:val="left" w:pos="540"/>
                <w:tab w:val="left" w:pos="1134"/>
              </w:tabs>
              <w:ind w:right="-2" w:firstLine="602"/>
              <w:jc w:val="both"/>
              <w:rPr>
                <w:bCs/>
                <w:i/>
                <w:sz w:val="26"/>
                <w:szCs w:val="26"/>
              </w:rPr>
            </w:pPr>
            <w:r w:rsidRPr="004F111B">
              <w:rPr>
                <w:i/>
                <w:sz w:val="26"/>
                <w:szCs w:val="26"/>
                <w:lang w:bidi="en-US"/>
              </w:rPr>
              <w:t>Approve the following candidate as the Company’s Insurer:</w:t>
            </w:r>
          </w:p>
          <w:p w14:paraId="7DABCC8D" w14:textId="77777777" w:rsidR="002D2F31" w:rsidRPr="004F111B" w:rsidRDefault="002D2F31" w:rsidP="002D2F31">
            <w:pPr>
              <w:widowControl w:val="0"/>
              <w:tabs>
                <w:tab w:val="left" w:pos="540"/>
                <w:tab w:val="left" w:pos="1134"/>
              </w:tabs>
              <w:ind w:right="-2" w:firstLine="602"/>
              <w:jc w:val="both"/>
              <w:rPr>
                <w:i/>
                <w:sz w:val="26"/>
                <w:szCs w:val="26"/>
                <w:highlight w:val="lightGray"/>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40"/>
              <w:gridCol w:w="2664"/>
              <w:gridCol w:w="2694"/>
            </w:tblGrid>
            <w:tr w:rsidR="002D2F31" w:rsidRPr="004F111B" w14:paraId="4288E840" w14:textId="77777777" w:rsidTr="004F111B">
              <w:trPr>
                <w:cantSplit/>
                <w:trHeight w:val="532"/>
              </w:trPr>
              <w:tc>
                <w:tcPr>
                  <w:tcW w:w="4140" w:type="dxa"/>
                  <w:tcMar>
                    <w:top w:w="0" w:type="dxa"/>
                    <w:left w:w="108" w:type="dxa"/>
                    <w:bottom w:w="0" w:type="dxa"/>
                    <w:right w:w="108" w:type="dxa"/>
                  </w:tcMar>
                  <w:vAlign w:val="center"/>
                </w:tcPr>
                <w:p w14:paraId="42D32898" w14:textId="77777777" w:rsidR="002D2F31" w:rsidRPr="004F111B" w:rsidRDefault="002D2F31" w:rsidP="007761E3">
                  <w:pPr>
                    <w:widowControl w:val="0"/>
                    <w:jc w:val="center"/>
                    <w:rPr>
                      <w:iCs/>
                    </w:rPr>
                  </w:pPr>
                  <w:r w:rsidRPr="004F111B">
                    <w:rPr>
                      <w:lang w:bidi="en-US"/>
                    </w:rPr>
                    <w:t>Insurance type</w:t>
                  </w:r>
                </w:p>
              </w:tc>
              <w:tc>
                <w:tcPr>
                  <w:tcW w:w="2664" w:type="dxa"/>
                  <w:tcMar>
                    <w:top w:w="0" w:type="dxa"/>
                    <w:left w:w="108" w:type="dxa"/>
                    <w:bottom w:w="0" w:type="dxa"/>
                    <w:right w:w="108" w:type="dxa"/>
                  </w:tcMar>
                  <w:vAlign w:val="center"/>
                </w:tcPr>
                <w:p w14:paraId="39C9344C" w14:textId="77777777" w:rsidR="002D2F31" w:rsidRPr="004F111B" w:rsidRDefault="002D2F31" w:rsidP="007761E3">
                  <w:pPr>
                    <w:widowControl w:val="0"/>
                    <w:jc w:val="center"/>
                    <w:rPr>
                      <w:iCs/>
                    </w:rPr>
                  </w:pPr>
                  <w:r w:rsidRPr="004F111B">
                    <w:rPr>
                      <w:lang w:bidi="en-US"/>
                    </w:rPr>
                    <w:t>Insurance company</w:t>
                  </w:r>
                </w:p>
              </w:tc>
              <w:tc>
                <w:tcPr>
                  <w:tcW w:w="2694" w:type="dxa"/>
                  <w:tcMar>
                    <w:top w:w="0" w:type="dxa"/>
                    <w:left w:w="108" w:type="dxa"/>
                    <w:bottom w:w="0" w:type="dxa"/>
                    <w:right w:w="108" w:type="dxa"/>
                  </w:tcMar>
                  <w:vAlign w:val="center"/>
                </w:tcPr>
                <w:p w14:paraId="76E822B8" w14:textId="77777777" w:rsidR="002D2F31" w:rsidRPr="004F111B" w:rsidRDefault="002D2F31" w:rsidP="007761E3">
                  <w:pPr>
                    <w:widowControl w:val="0"/>
                    <w:jc w:val="center"/>
                    <w:rPr>
                      <w:iCs/>
                    </w:rPr>
                  </w:pPr>
                  <w:r w:rsidRPr="004F111B">
                    <w:rPr>
                      <w:lang w:bidi="en-US"/>
                    </w:rPr>
                    <w:t>Insurance period</w:t>
                  </w:r>
                </w:p>
              </w:tc>
            </w:tr>
            <w:tr w:rsidR="002D2F31" w:rsidRPr="004F111B" w14:paraId="2C142215" w14:textId="77777777" w:rsidTr="004F111B">
              <w:trPr>
                <w:cantSplit/>
                <w:trHeight w:val="958"/>
              </w:trPr>
              <w:tc>
                <w:tcPr>
                  <w:tcW w:w="4140" w:type="dxa"/>
                  <w:tcMar>
                    <w:top w:w="0" w:type="dxa"/>
                    <w:left w:w="108" w:type="dxa"/>
                    <w:bottom w:w="0" w:type="dxa"/>
                    <w:right w:w="108" w:type="dxa"/>
                  </w:tcMar>
                  <w:vAlign w:val="center"/>
                </w:tcPr>
                <w:p w14:paraId="1942BF63" w14:textId="77777777" w:rsidR="002D2F31" w:rsidRPr="004F111B" w:rsidRDefault="002D2F31" w:rsidP="007761E3">
                  <w:pPr>
                    <w:widowControl w:val="0"/>
                    <w:jc w:val="center"/>
                    <w:rPr>
                      <w:iCs/>
                    </w:rPr>
                  </w:pPr>
                  <w:bookmarkStart w:id="0" w:name="OLE_LINK9"/>
                  <w:bookmarkStart w:id="1" w:name="OLE_LINK10"/>
                  <w:r w:rsidRPr="004F111B">
                    <w:rPr>
                      <w:lang w:bidi="en-US"/>
                    </w:rPr>
                    <w:t>Insurance of personal liability for inflicting damage due to defects in construction, reconstruction, overhaul, design preparation, engineering survey, affecting the safety of permanent facilities.</w:t>
                  </w:r>
                </w:p>
              </w:tc>
              <w:tc>
                <w:tcPr>
                  <w:tcW w:w="2664" w:type="dxa"/>
                  <w:tcMar>
                    <w:top w:w="0" w:type="dxa"/>
                    <w:left w:w="108" w:type="dxa"/>
                    <w:bottom w:w="0" w:type="dxa"/>
                    <w:right w:w="108" w:type="dxa"/>
                  </w:tcMar>
                  <w:vAlign w:val="center"/>
                </w:tcPr>
                <w:p w14:paraId="30B4EE2A" w14:textId="77777777" w:rsidR="002D2F31" w:rsidRPr="004F111B" w:rsidRDefault="002D2F31" w:rsidP="007761E3">
                  <w:pPr>
                    <w:widowControl w:val="0"/>
                    <w:jc w:val="center"/>
                    <w:rPr>
                      <w:color w:val="000000"/>
                    </w:rPr>
                  </w:pPr>
                  <w:r w:rsidRPr="004F111B">
                    <w:rPr>
                      <w:lang w:bidi="en-US"/>
                    </w:rPr>
                    <w:t>SOGAZ, JSC</w:t>
                  </w:r>
                </w:p>
              </w:tc>
              <w:tc>
                <w:tcPr>
                  <w:tcW w:w="2694" w:type="dxa"/>
                  <w:tcMar>
                    <w:top w:w="0" w:type="dxa"/>
                    <w:left w:w="108" w:type="dxa"/>
                    <w:bottom w:w="0" w:type="dxa"/>
                    <w:right w:w="108" w:type="dxa"/>
                  </w:tcMar>
                  <w:vAlign w:val="center"/>
                </w:tcPr>
                <w:p w14:paraId="282199C0" w14:textId="77777777" w:rsidR="002D2F31" w:rsidRPr="004F111B" w:rsidRDefault="002D2F31" w:rsidP="007761E3">
                  <w:pPr>
                    <w:widowControl w:val="0"/>
                    <w:jc w:val="center"/>
                  </w:pPr>
                  <w:r w:rsidRPr="004F111B">
                    <w:rPr>
                      <w:lang w:bidi="en-US"/>
                    </w:rPr>
                    <w:t>Twelve months of the Company’s entry into the Interregional Alliance of Builders, Self-Regulating Organization.</w:t>
                  </w:r>
                </w:p>
              </w:tc>
            </w:tr>
            <w:bookmarkEnd w:id="0"/>
            <w:bookmarkEnd w:id="1"/>
          </w:tbl>
          <w:p w14:paraId="1B6C5679" w14:textId="77777777" w:rsidR="002D2F31" w:rsidRPr="004F111B" w:rsidRDefault="002D2F31" w:rsidP="002D2F31">
            <w:pPr>
              <w:widowControl w:val="0"/>
              <w:tabs>
                <w:tab w:val="left" w:pos="540"/>
                <w:tab w:val="left" w:pos="1134"/>
              </w:tabs>
              <w:ind w:right="-2" w:firstLine="602"/>
              <w:jc w:val="both"/>
              <w:rPr>
                <w:i/>
                <w:sz w:val="26"/>
                <w:szCs w:val="26"/>
                <w:highlight w:val="lightGray"/>
              </w:rPr>
            </w:pPr>
          </w:p>
        </w:tc>
      </w:tr>
      <w:tr w:rsidR="002D2F31" w:rsidRPr="004F111B" w14:paraId="3DA6FAE8" w14:textId="77777777" w:rsidTr="002D2F31">
        <w:tc>
          <w:tcPr>
            <w:tcW w:w="10348" w:type="dxa"/>
            <w:gridSpan w:val="2"/>
          </w:tcPr>
          <w:p w14:paraId="397BD877" w14:textId="77777777" w:rsidR="002D2F31" w:rsidRPr="004F111B" w:rsidRDefault="002D2F31" w:rsidP="007761E3">
            <w:pPr>
              <w:pStyle w:val="a3"/>
              <w:jc w:val="center"/>
              <w:rPr>
                <w:rFonts w:ascii="Times New Roman" w:hAnsi="Times New Roman" w:cs="Times New Roman"/>
                <w:b/>
                <w:sz w:val="26"/>
                <w:szCs w:val="26"/>
              </w:rPr>
            </w:pPr>
            <w:r w:rsidRPr="004F111B">
              <w:rPr>
                <w:rFonts w:ascii="Times New Roman" w:hAnsi="Times New Roman" w:cs="Times New Roman"/>
                <w:b/>
                <w:sz w:val="26"/>
                <w:szCs w:val="26"/>
                <w:lang w:bidi="en-US"/>
              </w:rPr>
              <w:t>Insider information disclosure</w:t>
            </w:r>
          </w:p>
          <w:p w14:paraId="5F2C32D5" w14:textId="3A18275A" w:rsidR="002D2F31" w:rsidRPr="004F111B" w:rsidRDefault="002D2F31" w:rsidP="002D2F31">
            <w:pPr>
              <w:jc w:val="both"/>
              <w:rPr>
                <w:sz w:val="26"/>
                <w:szCs w:val="26"/>
              </w:rPr>
            </w:pPr>
            <w:r w:rsidRPr="004F111B">
              <w:rPr>
                <w:b/>
                <w:sz w:val="26"/>
                <w:szCs w:val="26"/>
                <w:lang w:bidi="en-US"/>
              </w:rPr>
              <w:t xml:space="preserve">Issue 5 </w:t>
            </w:r>
            <w:r w:rsidRPr="004F111B">
              <w:rPr>
                <w:b/>
                <w:i/>
                <w:sz w:val="26"/>
                <w:szCs w:val="26"/>
                <w:lang w:bidi="en-US"/>
              </w:rPr>
              <w:t xml:space="preserve">On Reviewing the Report on the Company’s Credit Policy from </w:t>
            </w:r>
            <w:r w:rsidR="008B04F9" w:rsidRPr="008B04F9">
              <w:rPr>
                <w:b/>
                <w:i/>
                <w:sz w:val="26"/>
                <w:szCs w:val="26"/>
                <w:lang w:bidi="en-US"/>
              </w:rPr>
              <w:t xml:space="preserve">PJSC </w:t>
            </w:r>
            <w:r w:rsidRPr="004F111B">
              <w:rPr>
                <w:b/>
                <w:i/>
                <w:sz w:val="26"/>
                <w:szCs w:val="26"/>
                <w:lang w:bidi="en-US"/>
              </w:rPr>
              <w:t>Kubanenergo’s General Director.</w:t>
            </w:r>
          </w:p>
        </w:tc>
      </w:tr>
      <w:tr w:rsidR="002D2F31" w:rsidRPr="004F111B" w14:paraId="3C3AFCF6" w14:textId="77777777" w:rsidTr="002D2F31">
        <w:trPr>
          <w:trHeight w:val="848"/>
        </w:trPr>
        <w:tc>
          <w:tcPr>
            <w:tcW w:w="10348" w:type="dxa"/>
            <w:gridSpan w:val="2"/>
          </w:tcPr>
          <w:p w14:paraId="49F474D7" w14:textId="77777777" w:rsidR="002D2F31" w:rsidRPr="004F111B" w:rsidRDefault="002D2F31" w:rsidP="007761E3">
            <w:pPr>
              <w:pStyle w:val="a3"/>
              <w:jc w:val="both"/>
              <w:rPr>
                <w:rFonts w:ascii="Times New Roman" w:hAnsi="Times New Roman" w:cs="Times New Roman"/>
                <w:sz w:val="26"/>
                <w:szCs w:val="26"/>
              </w:rPr>
            </w:pPr>
            <w:r w:rsidRPr="004F111B">
              <w:rPr>
                <w:rFonts w:ascii="Times New Roman" w:hAnsi="Times New Roman" w:cs="Times New Roman"/>
                <w:sz w:val="26"/>
                <w:szCs w:val="26"/>
                <w:lang w:bidi="en-US"/>
              </w:rPr>
              <w:t>2.2.5. Contents of the decisions taken by the Issuer’s Board of Directors:</w:t>
            </w:r>
          </w:p>
          <w:p w14:paraId="42333EC9" w14:textId="3D8958B6" w:rsidR="002D2F31" w:rsidRPr="004F111B" w:rsidRDefault="002D2F31" w:rsidP="002D2F31">
            <w:pPr>
              <w:widowControl w:val="0"/>
              <w:tabs>
                <w:tab w:val="left" w:pos="540"/>
                <w:tab w:val="left" w:pos="1134"/>
              </w:tabs>
              <w:ind w:right="-2" w:firstLine="602"/>
              <w:jc w:val="both"/>
              <w:rPr>
                <w:bCs/>
                <w:i/>
                <w:sz w:val="26"/>
                <w:szCs w:val="26"/>
              </w:rPr>
            </w:pPr>
            <w:r w:rsidRPr="004F111B">
              <w:rPr>
                <w:i/>
                <w:sz w:val="26"/>
                <w:szCs w:val="26"/>
                <w:lang w:bidi="en-US"/>
              </w:rPr>
              <w:t>1.</w:t>
            </w:r>
            <w:r w:rsidR="001F653F">
              <w:rPr>
                <w:i/>
                <w:sz w:val="26"/>
                <w:szCs w:val="26"/>
                <w:lang w:bidi="en-US"/>
              </w:rPr>
              <w:t xml:space="preserve"> </w:t>
            </w:r>
            <w:r w:rsidRPr="004F111B">
              <w:rPr>
                <w:i/>
                <w:sz w:val="26"/>
                <w:szCs w:val="26"/>
                <w:lang w:bidi="en-US"/>
              </w:rPr>
              <w:t xml:space="preserve">Take note of the 2018 and 2019 Q1 Report on the Company’s credit policy from </w:t>
            </w:r>
            <w:r w:rsidR="008B04F9" w:rsidRPr="008B04F9">
              <w:rPr>
                <w:i/>
                <w:sz w:val="26"/>
                <w:szCs w:val="26"/>
                <w:lang w:bidi="en-US"/>
              </w:rPr>
              <w:t xml:space="preserve">PJSC </w:t>
            </w:r>
            <w:r w:rsidRPr="004F111B">
              <w:rPr>
                <w:i/>
                <w:sz w:val="26"/>
                <w:szCs w:val="26"/>
                <w:lang w:bidi="en-US"/>
              </w:rPr>
              <w:t>Kubanenergo’s General Director in accordance with Appendix 5 hereto.</w:t>
            </w:r>
          </w:p>
          <w:p w14:paraId="42FC8753" w14:textId="77777777" w:rsidR="002D2F31" w:rsidRPr="004F111B" w:rsidRDefault="002D2F31" w:rsidP="002D2F31">
            <w:pPr>
              <w:widowControl w:val="0"/>
              <w:tabs>
                <w:tab w:val="left" w:pos="540"/>
                <w:tab w:val="left" w:pos="1134"/>
              </w:tabs>
              <w:ind w:right="-2" w:firstLine="602"/>
              <w:jc w:val="both"/>
              <w:rPr>
                <w:bCs/>
                <w:i/>
                <w:sz w:val="26"/>
                <w:szCs w:val="26"/>
                <w:highlight w:val="yellow"/>
              </w:rPr>
            </w:pPr>
            <w:r w:rsidRPr="004F111B">
              <w:rPr>
                <w:i/>
                <w:sz w:val="26"/>
                <w:szCs w:val="26"/>
                <w:lang w:bidi="en-US"/>
              </w:rPr>
              <w:t>2.</w:t>
            </w:r>
            <w:r w:rsidR="001F653F">
              <w:rPr>
                <w:i/>
                <w:sz w:val="26"/>
                <w:szCs w:val="26"/>
                <w:lang w:bidi="en-US"/>
              </w:rPr>
              <w:t xml:space="preserve"> </w:t>
            </w:r>
            <w:r w:rsidRPr="004F111B">
              <w:rPr>
                <w:i/>
                <w:sz w:val="26"/>
                <w:szCs w:val="26"/>
                <w:lang w:bidi="en-US"/>
              </w:rPr>
              <w:t>Confidential.</w:t>
            </w:r>
          </w:p>
          <w:p w14:paraId="6CE060FA" w14:textId="77777777" w:rsidR="002D2F31" w:rsidRPr="004F111B" w:rsidRDefault="002D2F31" w:rsidP="002D2F31">
            <w:pPr>
              <w:widowControl w:val="0"/>
              <w:tabs>
                <w:tab w:val="left" w:pos="540"/>
                <w:tab w:val="left" w:pos="1134"/>
              </w:tabs>
              <w:ind w:right="-2" w:firstLine="602"/>
              <w:jc w:val="both"/>
              <w:rPr>
                <w:bCs/>
                <w:i/>
                <w:sz w:val="26"/>
                <w:szCs w:val="26"/>
              </w:rPr>
            </w:pPr>
            <w:r w:rsidRPr="004F111B">
              <w:rPr>
                <w:i/>
                <w:sz w:val="26"/>
                <w:szCs w:val="26"/>
                <w:lang w:bidi="en-US"/>
              </w:rPr>
              <w:t>3.</w:t>
            </w:r>
            <w:r w:rsidR="001F653F">
              <w:rPr>
                <w:i/>
                <w:sz w:val="26"/>
                <w:szCs w:val="26"/>
                <w:lang w:bidi="en-US"/>
              </w:rPr>
              <w:t xml:space="preserve"> </w:t>
            </w:r>
            <w:r w:rsidRPr="004F111B">
              <w:rPr>
                <w:i/>
                <w:sz w:val="26"/>
                <w:szCs w:val="26"/>
                <w:lang w:bidi="en-US"/>
              </w:rPr>
              <w:t>Confidential.</w:t>
            </w:r>
          </w:p>
          <w:p w14:paraId="76F55140" w14:textId="77777777" w:rsidR="002D2F31" w:rsidRPr="004F111B" w:rsidRDefault="002D2F31" w:rsidP="007549AD">
            <w:pPr>
              <w:widowControl w:val="0"/>
              <w:tabs>
                <w:tab w:val="left" w:pos="540"/>
                <w:tab w:val="left" w:pos="1134"/>
              </w:tabs>
              <w:ind w:right="-2" w:firstLine="602"/>
              <w:jc w:val="both"/>
              <w:rPr>
                <w:i/>
                <w:sz w:val="26"/>
                <w:szCs w:val="26"/>
                <w:highlight w:val="lightGray"/>
              </w:rPr>
            </w:pPr>
            <w:r w:rsidRPr="004F111B">
              <w:rPr>
                <w:i/>
                <w:sz w:val="26"/>
                <w:szCs w:val="26"/>
                <w:lang w:bidi="en-US"/>
              </w:rPr>
              <w:t>4.</w:t>
            </w:r>
            <w:r w:rsidR="001F653F">
              <w:rPr>
                <w:i/>
                <w:sz w:val="26"/>
                <w:szCs w:val="26"/>
                <w:lang w:bidi="en-US"/>
              </w:rPr>
              <w:t xml:space="preserve"> </w:t>
            </w:r>
            <w:r w:rsidRPr="004F111B">
              <w:rPr>
                <w:i/>
                <w:sz w:val="26"/>
                <w:szCs w:val="26"/>
                <w:lang w:bidi="en-US"/>
              </w:rPr>
              <w:t>Confidential.</w:t>
            </w:r>
          </w:p>
        </w:tc>
      </w:tr>
      <w:tr w:rsidR="002D2F31" w:rsidRPr="004F111B" w14:paraId="5EE2077A" w14:textId="77777777" w:rsidTr="002D2F31">
        <w:tc>
          <w:tcPr>
            <w:tcW w:w="10348" w:type="dxa"/>
            <w:gridSpan w:val="2"/>
          </w:tcPr>
          <w:p w14:paraId="3E0734D2" w14:textId="77777777" w:rsidR="002D2F31" w:rsidRPr="004F111B" w:rsidRDefault="002D2F31" w:rsidP="007761E3">
            <w:pPr>
              <w:pStyle w:val="a3"/>
              <w:jc w:val="center"/>
              <w:rPr>
                <w:rFonts w:ascii="Times New Roman" w:hAnsi="Times New Roman" w:cs="Times New Roman"/>
                <w:b/>
                <w:sz w:val="26"/>
                <w:szCs w:val="26"/>
              </w:rPr>
            </w:pPr>
            <w:r w:rsidRPr="004F111B">
              <w:rPr>
                <w:rFonts w:ascii="Times New Roman" w:hAnsi="Times New Roman" w:cs="Times New Roman"/>
                <w:b/>
                <w:sz w:val="26"/>
                <w:szCs w:val="26"/>
                <w:lang w:bidi="en-US"/>
              </w:rPr>
              <w:t>Insider information disclosure</w:t>
            </w:r>
          </w:p>
          <w:p w14:paraId="358232C2" w14:textId="770D1BD8" w:rsidR="002D2F31" w:rsidRPr="004F111B" w:rsidRDefault="002D2F31" w:rsidP="002D2F31">
            <w:pPr>
              <w:jc w:val="both"/>
              <w:rPr>
                <w:sz w:val="26"/>
                <w:szCs w:val="26"/>
              </w:rPr>
            </w:pPr>
            <w:r w:rsidRPr="004F111B">
              <w:rPr>
                <w:b/>
                <w:sz w:val="26"/>
                <w:szCs w:val="26"/>
                <w:lang w:bidi="en-US"/>
              </w:rPr>
              <w:t xml:space="preserve">Issue 6 </w:t>
            </w:r>
            <w:r w:rsidRPr="004F111B">
              <w:rPr>
                <w:b/>
                <w:i/>
                <w:sz w:val="26"/>
                <w:szCs w:val="26"/>
                <w:lang w:bidi="en-US"/>
              </w:rPr>
              <w:t xml:space="preserve">On Changing the Settlement Procedure Applicable under the Reimbursement Agreement with Upravleniye Kapitalnogo Stroitelstva, Municipal Public Institution, Sochi (UKS MPI, Sochi) with respect to Decreasing the Advance Payment Sum Not Included in the Procedures for Redevelopment of Facilities at </w:t>
            </w:r>
            <w:r w:rsidR="008B04F9" w:rsidRPr="008B04F9">
              <w:rPr>
                <w:b/>
                <w:i/>
                <w:sz w:val="26"/>
                <w:szCs w:val="26"/>
                <w:lang w:bidi="en-US"/>
              </w:rPr>
              <w:t xml:space="preserve">PJSC </w:t>
            </w:r>
            <w:r w:rsidRPr="004F111B">
              <w:rPr>
                <w:b/>
                <w:i/>
                <w:sz w:val="26"/>
                <w:szCs w:val="26"/>
                <w:lang w:bidi="en-US"/>
              </w:rPr>
              <w:t>Kubanenergo Initiated by Third Parties.</w:t>
            </w:r>
          </w:p>
        </w:tc>
      </w:tr>
      <w:tr w:rsidR="002D2F31" w:rsidRPr="004F111B" w14:paraId="75C3EB08" w14:textId="77777777" w:rsidTr="002D2F31">
        <w:trPr>
          <w:trHeight w:val="848"/>
        </w:trPr>
        <w:tc>
          <w:tcPr>
            <w:tcW w:w="10348" w:type="dxa"/>
            <w:gridSpan w:val="2"/>
          </w:tcPr>
          <w:p w14:paraId="2045CCB5" w14:textId="77777777" w:rsidR="002D2F31" w:rsidRPr="004F111B" w:rsidRDefault="002D2F31" w:rsidP="007761E3">
            <w:pPr>
              <w:pStyle w:val="a3"/>
              <w:jc w:val="both"/>
              <w:rPr>
                <w:rFonts w:ascii="Times New Roman" w:hAnsi="Times New Roman" w:cs="Times New Roman"/>
                <w:sz w:val="26"/>
                <w:szCs w:val="26"/>
              </w:rPr>
            </w:pPr>
            <w:r w:rsidRPr="004F111B">
              <w:rPr>
                <w:rFonts w:ascii="Times New Roman" w:hAnsi="Times New Roman" w:cs="Times New Roman"/>
                <w:sz w:val="26"/>
                <w:szCs w:val="26"/>
                <w:lang w:bidi="en-US"/>
              </w:rPr>
              <w:t>2.2.6. Contents of the decisions taken by the Issuer’s Board of Directors:</w:t>
            </w:r>
          </w:p>
          <w:p w14:paraId="30CAF91F" w14:textId="77777777" w:rsidR="002D2F31" w:rsidRPr="004F111B" w:rsidRDefault="002D2F31" w:rsidP="002D2F31">
            <w:pPr>
              <w:widowControl w:val="0"/>
              <w:tabs>
                <w:tab w:val="left" w:pos="540"/>
                <w:tab w:val="left" w:pos="1134"/>
              </w:tabs>
              <w:ind w:right="-2" w:firstLine="602"/>
              <w:jc w:val="both"/>
              <w:rPr>
                <w:i/>
                <w:sz w:val="26"/>
                <w:szCs w:val="26"/>
                <w:highlight w:val="lightGray"/>
              </w:rPr>
            </w:pPr>
            <w:r w:rsidRPr="004F111B">
              <w:rPr>
                <w:i/>
                <w:sz w:val="26"/>
                <w:szCs w:val="26"/>
                <w:lang w:bidi="en-US"/>
              </w:rPr>
              <w:t xml:space="preserve">Change the settlement procedure applicable under the reimbursement agreement with UKS MPI, Sochi with respect to decreasing the advance payment sum to 30%. </w:t>
            </w:r>
          </w:p>
        </w:tc>
      </w:tr>
      <w:tr w:rsidR="002D2F31" w:rsidRPr="004F111B" w14:paraId="14144786" w14:textId="77777777" w:rsidTr="002D2F31">
        <w:tc>
          <w:tcPr>
            <w:tcW w:w="10348" w:type="dxa"/>
            <w:gridSpan w:val="2"/>
          </w:tcPr>
          <w:p w14:paraId="781C8AC3" w14:textId="77777777" w:rsidR="002D2F31" w:rsidRPr="004F111B" w:rsidRDefault="002D2F31" w:rsidP="007761E3">
            <w:pPr>
              <w:pStyle w:val="a3"/>
              <w:jc w:val="center"/>
              <w:rPr>
                <w:rFonts w:ascii="Times New Roman" w:hAnsi="Times New Roman" w:cs="Times New Roman"/>
                <w:b/>
                <w:sz w:val="26"/>
                <w:szCs w:val="26"/>
              </w:rPr>
            </w:pPr>
            <w:r w:rsidRPr="004F111B">
              <w:rPr>
                <w:rFonts w:ascii="Times New Roman" w:hAnsi="Times New Roman" w:cs="Times New Roman"/>
                <w:b/>
                <w:sz w:val="26"/>
                <w:szCs w:val="26"/>
                <w:lang w:bidi="en-US"/>
              </w:rPr>
              <w:t>Insider information disclosure</w:t>
            </w:r>
          </w:p>
          <w:p w14:paraId="7A045A97" w14:textId="75DF69D3" w:rsidR="002D2F31" w:rsidRPr="004F111B" w:rsidRDefault="002D2F31" w:rsidP="002D2F31">
            <w:pPr>
              <w:jc w:val="both"/>
              <w:rPr>
                <w:sz w:val="26"/>
                <w:szCs w:val="26"/>
              </w:rPr>
            </w:pPr>
            <w:r w:rsidRPr="004F111B">
              <w:rPr>
                <w:b/>
                <w:sz w:val="26"/>
                <w:szCs w:val="26"/>
                <w:lang w:bidi="en-US"/>
              </w:rPr>
              <w:t xml:space="preserve">Issue 7 </w:t>
            </w:r>
            <w:r w:rsidRPr="004F111B">
              <w:rPr>
                <w:b/>
                <w:i/>
                <w:sz w:val="26"/>
                <w:szCs w:val="26"/>
                <w:lang w:bidi="en-US"/>
              </w:rPr>
              <w:t xml:space="preserve">On Reviewing the 2019 Q2 Progress Report on the Register of Non-Core Assets from the Company’s General Director, and on Approving </w:t>
            </w:r>
            <w:r w:rsidR="008B04F9" w:rsidRPr="008B04F9">
              <w:rPr>
                <w:b/>
                <w:i/>
                <w:sz w:val="26"/>
                <w:szCs w:val="26"/>
                <w:lang w:bidi="en-US"/>
              </w:rPr>
              <w:t xml:space="preserve">PJSC </w:t>
            </w:r>
            <w:r w:rsidRPr="004F111B">
              <w:rPr>
                <w:b/>
                <w:i/>
                <w:sz w:val="26"/>
                <w:szCs w:val="26"/>
                <w:lang w:bidi="en-US"/>
              </w:rPr>
              <w:t>Kubanenergo’s Updated Register of Non-Core Assets.</w:t>
            </w:r>
          </w:p>
        </w:tc>
      </w:tr>
      <w:tr w:rsidR="002D2F31" w:rsidRPr="004F111B" w14:paraId="0A41E853" w14:textId="77777777" w:rsidTr="002D2F31">
        <w:trPr>
          <w:trHeight w:val="848"/>
        </w:trPr>
        <w:tc>
          <w:tcPr>
            <w:tcW w:w="10348" w:type="dxa"/>
            <w:gridSpan w:val="2"/>
          </w:tcPr>
          <w:p w14:paraId="69088C1C" w14:textId="77777777" w:rsidR="002D2F31" w:rsidRPr="004F111B" w:rsidRDefault="002D2F31" w:rsidP="007761E3">
            <w:pPr>
              <w:pStyle w:val="a3"/>
              <w:jc w:val="both"/>
              <w:rPr>
                <w:rFonts w:ascii="Times New Roman" w:hAnsi="Times New Roman" w:cs="Times New Roman"/>
                <w:sz w:val="26"/>
                <w:szCs w:val="26"/>
              </w:rPr>
            </w:pPr>
            <w:r w:rsidRPr="004F111B">
              <w:rPr>
                <w:rFonts w:ascii="Times New Roman" w:hAnsi="Times New Roman" w:cs="Times New Roman"/>
                <w:sz w:val="26"/>
                <w:szCs w:val="26"/>
                <w:lang w:bidi="en-US"/>
              </w:rPr>
              <w:lastRenderedPageBreak/>
              <w:t>2.2.7. Contents of the decisions taken by the Issuer’s Board of Directors:</w:t>
            </w:r>
          </w:p>
          <w:p w14:paraId="07F4035D" w14:textId="77777777" w:rsidR="002D2F31" w:rsidRPr="004F111B" w:rsidRDefault="002D2F31" w:rsidP="002D2F31">
            <w:pPr>
              <w:widowControl w:val="0"/>
              <w:tabs>
                <w:tab w:val="left" w:pos="540"/>
                <w:tab w:val="left" w:pos="1134"/>
              </w:tabs>
              <w:ind w:right="-2" w:firstLine="602"/>
              <w:jc w:val="both"/>
              <w:rPr>
                <w:bCs/>
                <w:i/>
                <w:sz w:val="26"/>
                <w:szCs w:val="26"/>
              </w:rPr>
            </w:pPr>
            <w:r w:rsidRPr="004F111B">
              <w:rPr>
                <w:i/>
                <w:sz w:val="26"/>
                <w:szCs w:val="26"/>
                <w:lang w:bidi="en-US"/>
              </w:rPr>
              <w:t>1.</w:t>
            </w:r>
            <w:r w:rsidR="004F111B">
              <w:rPr>
                <w:i/>
                <w:sz w:val="26"/>
                <w:szCs w:val="26"/>
                <w:lang w:bidi="en-US"/>
              </w:rPr>
              <w:t xml:space="preserve"> </w:t>
            </w:r>
            <w:r w:rsidRPr="004F111B">
              <w:rPr>
                <w:i/>
                <w:sz w:val="26"/>
                <w:szCs w:val="26"/>
                <w:lang w:bidi="en-US"/>
              </w:rPr>
              <w:t>Take note of the 2019 Q2 progress report on the register of non-core assets in accordance with Appendix 6 hereto.</w:t>
            </w:r>
          </w:p>
          <w:p w14:paraId="3731BD8F" w14:textId="77777777" w:rsidR="002D2F31" w:rsidRPr="004F111B" w:rsidRDefault="002D2F31" w:rsidP="002D2F31">
            <w:pPr>
              <w:widowControl w:val="0"/>
              <w:tabs>
                <w:tab w:val="left" w:pos="540"/>
                <w:tab w:val="left" w:pos="1134"/>
              </w:tabs>
              <w:ind w:right="-2" w:firstLine="602"/>
              <w:jc w:val="both"/>
              <w:rPr>
                <w:i/>
                <w:sz w:val="26"/>
                <w:szCs w:val="26"/>
                <w:highlight w:val="lightGray"/>
              </w:rPr>
            </w:pPr>
            <w:r w:rsidRPr="004F111B">
              <w:rPr>
                <w:i/>
                <w:sz w:val="26"/>
                <w:szCs w:val="26"/>
                <w:lang w:bidi="en-US"/>
              </w:rPr>
              <w:t xml:space="preserve">2. Approve the updated Register of Non-Core Assets as amended in Appendix 7 hereto. </w:t>
            </w:r>
          </w:p>
        </w:tc>
      </w:tr>
      <w:tr w:rsidR="00E10D4D" w:rsidRPr="004F111B" w14:paraId="076358A3" w14:textId="77777777" w:rsidTr="002D2F31">
        <w:trPr>
          <w:trHeight w:val="848"/>
        </w:trPr>
        <w:tc>
          <w:tcPr>
            <w:tcW w:w="10348" w:type="dxa"/>
            <w:gridSpan w:val="2"/>
          </w:tcPr>
          <w:p w14:paraId="1D7A75AC" w14:textId="77777777" w:rsidR="00E10D4D" w:rsidRPr="004F111B" w:rsidRDefault="00E10D4D" w:rsidP="00E10D4D">
            <w:pPr>
              <w:pStyle w:val="a3"/>
              <w:jc w:val="center"/>
              <w:rPr>
                <w:rFonts w:ascii="Times New Roman" w:hAnsi="Times New Roman" w:cs="Times New Roman"/>
                <w:b/>
                <w:sz w:val="26"/>
                <w:szCs w:val="26"/>
              </w:rPr>
            </w:pPr>
            <w:r w:rsidRPr="004F111B">
              <w:rPr>
                <w:rFonts w:ascii="Times New Roman" w:hAnsi="Times New Roman" w:cs="Times New Roman"/>
                <w:b/>
                <w:sz w:val="26"/>
                <w:szCs w:val="26"/>
                <w:lang w:bidi="en-US"/>
              </w:rPr>
              <w:t>Insider information disclosure</w:t>
            </w:r>
          </w:p>
          <w:p w14:paraId="7E00FFD4" w14:textId="514ADECF" w:rsidR="00E10D4D" w:rsidRPr="004F111B" w:rsidRDefault="00E10D4D" w:rsidP="00D26F31">
            <w:pPr>
              <w:pStyle w:val="a3"/>
              <w:jc w:val="both"/>
              <w:rPr>
                <w:rFonts w:ascii="Times New Roman" w:hAnsi="Times New Roman" w:cs="Times New Roman"/>
                <w:sz w:val="26"/>
                <w:szCs w:val="26"/>
              </w:rPr>
            </w:pPr>
            <w:r w:rsidRPr="004F111B">
              <w:rPr>
                <w:rFonts w:ascii="Times New Roman" w:hAnsi="Times New Roman" w:cs="Times New Roman"/>
                <w:b/>
                <w:i/>
                <w:sz w:val="26"/>
                <w:szCs w:val="26"/>
                <w:lang w:bidi="en-US"/>
              </w:rPr>
              <w:t xml:space="preserve">Issue 8 On Approving </w:t>
            </w:r>
            <w:r w:rsidR="008B04F9" w:rsidRPr="008B04F9">
              <w:rPr>
                <w:rFonts w:ascii="Times New Roman" w:hAnsi="Times New Roman" w:cs="Times New Roman"/>
                <w:b/>
                <w:i/>
                <w:sz w:val="26"/>
                <w:szCs w:val="26"/>
                <w:lang w:bidi="en-US"/>
              </w:rPr>
              <w:t xml:space="preserve">PJSC </w:t>
            </w:r>
            <w:r w:rsidRPr="004F111B">
              <w:rPr>
                <w:rFonts w:ascii="Times New Roman" w:hAnsi="Times New Roman" w:cs="Times New Roman"/>
                <w:b/>
                <w:i/>
                <w:sz w:val="26"/>
                <w:szCs w:val="26"/>
                <w:lang w:bidi="en-US"/>
              </w:rPr>
              <w:t>Kubanenergo’s Action Plan for Reducing the Amount of Overdue Receivables for Electric Energy Transmission Services and for Settling Differences Existing as of 01 July 2019.</w:t>
            </w:r>
          </w:p>
        </w:tc>
      </w:tr>
      <w:tr w:rsidR="00E10D4D" w:rsidRPr="004F111B" w14:paraId="35D7D87F" w14:textId="77777777" w:rsidTr="002D2F31">
        <w:trPr>
          <w:trHeight w:val="848"/>
        </w:trPr>
        <w:tc>
          <w:tcPr>
            <w:tcW w:w="10348" w:type="dxa"/>
            <w:gridSpan w:val="2"/>
          </w:tcPr>
          <w:p w14:paraId="094C18FE" w14:textId="77777777" w:rsidR="004D2E11" w:rsidRPr="004F111B" w:rsidRDefault="004D2E11" w:rsidP="004D2E11">
            <w:pPr>
              <w:pStyle w:val="a3"/>
              <w:jc w:val="both"/>
              <w:rPr>
                <w:rFonts w:ascii="Times New Roman" w:hAnsi="Times New Roman" w:cs="Times New Roman"/>
                <w:sz w:val="26"/>
                <w:szCs w:val="26"/>
              </w:rPr>
            </w:pPr>
            <w:r w:rsidRPr="004F111B">
              <w:rPr>
                <w:rFonts w:ascii="Times New Roman" w:hAnsi="Times New Roman" w:cs="Times New Roman"/>
                <w:sz w:val="26"/>
                <w:szCs w:val="26"/>
                <w:lang w:bidi="en-US"/>
              </w:rPr>
              <w:t>2.2.8. Contents of the decisions taken by the Issuer’s Board of Directors:</w:t>
            </w:r>
          </w:p>
          <w:p w14:paraId="47678F75" w14:textId="3441F838" w:rsidR="00D26F31" w:rsidRPr="004F111B" w:rsidRDefault="00D26F31" w:rsidP="00D26F31">
            <w:pPr>
              <w:widowControl w:val="0"/>
              <w:ind w:firstLine="602"/>
              <w:jc w:val="both"/>
              <w:rPr>
                <w:bCs/>
                <w:i/>
                <w:color w:val="000000"/>
                <w:sz w:val="26"/>
                <w:szCs w:val="26"/>
              </w:rPr>
            </w:pPr>
            <w:r w:rsidRPr="004F111B">
              <w:rPr>
                <w:i/>
                <w:sz w:val="26"/>
                <w:szCs w:val="26"/>
                <w:lang w:bidi="en-US"/>
              </w:rPr>
              <w:t>1.</w:t>
            </w:r>
            <w:r w:rsidR="00505002">
              <w:rPr>
                <w:i/>
                <w:sz w:val="26"/>
                <w:szCs w:val="26"/>
                <w:lang w:bidi="en-US"/>
              </w:rPr>
              <w:t xml:space="preserve"> </w:t>
            </w:r>
            <w:r w:rsidRPr="004F111B">
              <w:rPr>
                <w:i/>
                <w:sz w:val="26"/>
                <w:szCs w:val="26"/>
                <w:lang w:bidi="en-US"/>
              </w:rPr>
              <w:t xml:space="preserve">Approve </w:t>
            </w:r>
            <w:r w:rsidR="008B04F9" w:rsidRPr="008B04F9">
              <w:rPr>
                <w:i/>
                <w:sz w:val="26"/>
                <w:szCs w:val="26"/>
                <w:lang w:bidi="en-US"/>
              </w:rPr>
              <w:t xml:space="preserve">PJSC </w:t>
            </w:r>
            <w:r w:rsidRPr="004F111B">
              <w:rPr>
                <w:i/>
                <w:sz w:val="26"/>
                <w:szCs w:val="26"/>
                <w:lang w:bidi="en-US"/>
              </w:rPr>
              <w:t>Kubanenergo’s Action Plan for reducing the amount of overdue receivables for electric energy transmission services and for settling differences existing as of 01 July 2019 as provided in Appendix 8 hereto.</w:t>
            </w:r>
          </w:p>
          <w:p w14:paraId="6AF74468" w14:textId="15485984" w:rsidR="00D26F31" w:rsidRPr="004F111B" w:rsidRDefault="00D26F31" w:rsidP="00D26F31">
            <w:pPr>
              <w:widowControl w:val="0"/>
              <w:ind w:firstLine="602"/>
              <w:jc w:val="both"/>
              <w:rPr>
                <w:bCs/>
                <w:i/>
                <w:color w:val="000000"/>
                <w:sz w:val="26"/>
                <w:szCs w:val="26"/>
              </w:rPr>
            </w:pPr>
            <w:r w:rsidRPr="004F111B">
              <w:rPr>
                <w:i/>
                <w:sz w:val="26"/>
                <w:szCs w:val="26"/>
                <w:lang w:bidi="en-US"/>
              </w:rPr>
              <w:t>2.</w:t>
            </w:r>
            <w:r w:rsidR="00505002">
              <w:rPr>
                <w:i/>
                <w:sz w:val="26"/>
                <w:szCs w:val="26"/>
                <w:lang w:bidi="en-US"/>
              </w:rPr>
              <w:t xml:space="preserve"> </w:t>
            </w:r>
            <w:r w:rsidRPr="004F111B">
              <w:rPr>
                <w:i/>
                <w:sz w:val="26"/>
                <w:szCs w:val="26"/>
                <w:lang w:bidi="en-US"/>
              </w:rPr>
              <w:t xml:space="preserve">Take note of the Progress Report on </w:t>
            </w:r>
            <w:r w:rsidR="008B04F9" w:rsidRPr="008B04F9">
              <w:rPr>
                <w:i/>
                <w:sz w:val="26"/>
                <w:szCs w:val="26"/>
                <w:lang w:bidi="en-US"/>
              </w:rPr>
              <w:t xml:space="preserve">PJSC </w:t>
            </w:r>
            <w:r w:rsidRPr="004F111B">
              <w:rPr>
                <w:i/>
                <w:sz w:val="26"/>
                <w:szCs w:val="26"/>
                <w:lang w:bidi="en-US"/>
              </w:rPr>
              <w:t xml:space="preserve">Kubanenergo’s Action Plan, previously approved by the Company’s Board of Directors, for reducing the amount of overdue receivables for electric energy transmission services and for settling differences existing as of 01 April 2019, as provided in Appendix 9 hereto. </w:t>
            </w:r>
          </w:p>
          <w:p w14:paraId="2B083FDF" w14:textId="6B2016B2" w:rsidR="00D26F31" w:rsidRPr="004F111B" w:rsidRDefault="00D26F31" w:rsidP="00D26F31">
            <w:pPr>
              <w:widowControl w:val="0"/>
              <w:ind w:firstLine="602"/>
              <w:jc w:val="both"/>
              <w:rPr>
                <w:bCs/>
                <w:i/>
                <w:color w:val="000000"/>
                <w:sz w:val="26"/>
                <w:szCs w:val="26"/>
              </w:rPr>
            </w:pPr>
            <w:r w:rsidRPr="004F111B">
              <w:rPr>
                <w:i/>
                <w:sz w:val="26"/>
                <w:szCs w:val="26"/>
                <w:lang w:bidi="en-US"/>
              </w:rPr>
              <w:t>3.</w:t>
            </w:r>
            <w:r w:rsidR="00505002">
              <w:rPr>
                <w:i/>
                <w:sz w:val="26"/>
                <w:szCs w:val="26"/>
                <w:lang w:bidi="en-US"/>
              </w:rPr>
              <w:t xml:space="preserve"> </w:t>
            </w:r>
            <w:r w:rsidRPr="004F111B">
              <w:rPr>
                <w:i/>
                <w:sz w:val="26"/>
                <w:szCs w:val="26"/>
                <w:lang w:bidi="en-US"/>
              </w:rPr>
              <w:t xml:space="preserve">Take note of </w:t>
            </w:r>
            <w:r w:rsidR="008B04F9" w:rsidRPr="008B04F9">
              <w:rPr>
                <w:i/>
                <w:sz w:val="26"/>
                <w:szCs w:val="26"/>
                <w:lang w:bidi="en-US"/>
              </w:rPr>
              <w:t xml:space="preserve">PJSC </w:t>
            </w:r>
            <w:bookmarkStart w:id="2" w:name="_GoBack"/>
            <w:r w:rsidRPr="004F111B">
              <w:rPr>
                <w:i/>
                <w:sz w:val="26"/>
                <w:szCs w:val="26"/>
                <w:lang w:bidi="en-US"/>
              </w:rPr>
              <w:t>Kubanenergo</w:t>
            </w:r>
            <w:bookmarkEnd w:id="2"/>
            <w:r w:rsidRPr="004F111B">
              <w:rPr>
                <w:i/>
                <w:sz w:val="26"/>
                <w:szCs w:val="26"/>
                <w:lang w:bidi="en-US"/>
              </w:rPr>
              <w:t>’s Progress Report on the arrears existing as of the beginning of Quarter 2, 2019 including newly created arrears in accordance with Appendix 10 hereto.</w:t>
            </w:r>
          </w:p>
          <w:p w14:paraId="76870BAD" w14:textId="77777777" w:rsidR="00EC0C43" w:rsidRPr="004F111B" w:rsidRDefault="00D26F31" w:rsidP="00D26F31">
            <w:pPr>
              <w:widowControl w:val="0"/>
              <w:ind w:firstLine="602"/>
              <w:jc w:val="both"/>
              <w:rPr>
                <w:i/>
                <w:color w:val="000000"/>
                <w:sz w:val="26"/>
                <w:szCs w:val="26"/>
              </w:rPr>
            </w:pPr>
            <w:r w:rsidRPr="004F111B">
              <w:rPr>
                <w:i/>
                <w:sz w:val="26"/>
                <w:szCs w:val="26"/>
                <w:lang w:bidi="en-US"/>
              </w:rPr>
              <w:t>4.</w:t>
            </w:r>
            <w:r w:rsidR="00505002">
              <w:rPr>
                <w:i/>
                <w:sz w:val="26"/>
                <w:szCs w:val="26"/>
                <w:lang w:bidi="en-US"/>
              </w:rPr>
              <w:t xml:space="preserve"> </w:t>
            </w:r>
            <w:r w:rsidRPr="004F111B">
              <w:rPr>
                <w:i/>
                <w:sz w:val="26"/>
                <w:szCs w:val="26"/>
                <w:lang w:bidi="en-US"/>
              </w:rPr>
              <w:t>Take note of the Progress Report on the Instruction of the Board of Directors of 29 March 2019 (Minutes 334/2019 of 01 April 2019) with respect to settling 2,942,000,000 rubles of receivables in 2019 out of the amount existing as of 01 January 2019 in accordance with Appendix 11 hereto.</w:t>
            </w:r>
          </w:p>
        </w:tc>
      </w:tr>
      <w:tr w:rsidR="00741003" w:rsidRPr="004F111B" w14:paraId="3E450EB7" w14:textId="77777777" w:rsidTr="002D2F31">
        <w:tc>
          <w:tcPr>
            <w:tcW w:w="10348" w:type="dxa"/>
            <w:gridSpan w:val="2"/>
          </w:tcPr>
          <w:p w14:paraId="3499424D" w14:textId="77777777" w:rsidR="00741003" w:rsidRPr="004F111B" w:rsidRDefault="00741003" w:rsidP="006A7084">
            <w:pPr>
              <w:pStyle w:val="a3"/>
              <w:jc w:val="both"/>
              <w:rPr>
                <w:rFonts w:ascii="Times New Roman" w:hAnsi="Times New Roman" w:cs="Times New Roman"/>
                <w:b/>
                <w:i/>
                <w:sz w:val="26"/>
                <w:szCs w:val="26"/>
              </w:rPr>
            </w:pPr>
            <w:r w:rsidRPr="004F111B">
              <w:rPr>
                <w:rFonts w:ascii="Times New Roman" w:hAnsi="Times New Roman" w:cs="Times New Roman"/>
                <w:sz w:val="26"/>
                <w:szCs w:val="26"/>
                <w:lang w:bidi="en-US"/>
              </w:rPr>
              <w:t xml:space="preserve">2.3. Date of the meeting of the Issuer’s Board of Directors where respective decisions were made: </w:t>
            </w:r>
            <w:r w:rsidRPr="004F111B">
              <w:rPr>
                <w:rFonts w:ascii="Times New Roman" w:hAnsi="Times New Roman" w:cs="Times New Roman"/>
                <w:b/>
                <w:i/>
                <w:sz w:val="26"/>
                <w:szCs w:val="26"/>
                <w:lang w:bidi="en-US"/>
              </w:rPr>
              <w:t>30 September 2019.</w:t>
            </w:r>
          </w:p>
          <w:p w14:paraId="7691465B" w14:textId="77777777" w:rsidR="00741003" w:rsidRPr="004F111B" w:rsidRDefault="00741003" w:rsidP="00D26F31">
            <w:pPr>
              <w:pStyle w:val="a3"/>
              <w:jc w:val="both"/>
              <w:rPr>
                <w:rFonts w:ascii="Times New Roman" w:hAnsi="Times New Roman" w:cs="Times New Roman"/>
                <w:sz w:val="26"/>
                <w:szCs w:val="26"/>
              </w:rPr>
            </w:pPr>
            <w:r w:rsidRPr="004F111B">
              <w:rPr>
                <w:rFonts w:ascii="Times New Roman" w:hAnsi="Times New Roman" w:cs="Times New Roman"/>
                <w:sz w:val="26"/>
                <w:szCs w:val="26"/>
                <w:lang w:bidi="en-US"/>
              </w:rPr>
              <w:t xml:space="preserve">2.4. Date and number of the Minutes of the Meeting of the Issuer’s Board of Directors where the respective decisions were taken: </w:t>
            </w:r>
            <w:r w:rsidRPr="004F111B">
              <w:rPr>
                <w:rFonts w:ascii="Times New Roman" w:hAnsi="Times New Roman" w:cs="Times New Roman"/>
                <w:b/>
                <w:i/>
                <w:sz w:val="26"/>
                <w:szCs w:val="26"/>
                <w:lang w:bidi="en-US"/>
              </w:rPr>
              <w:t>01 October 2019, Minutes 361/2019.</w:t>
            </w:r>
          </w:p>
        </w:tc>
      </w:tr>
      <w:tr w:rsidR="00741003" w:rsidRPr="004F111B" w14:paraId="42736111" w14:textId="77777777" w:rsidTr="002D2F31">
        <w:tc>
          <w:tcPr>
            <w:tcW w:w="10348" w:type="dxa"/>
            <w:gridSpan w:val="2"/>
          </w:tcPr>
          <w:p w14:paraId="7A524D7B" w14:textId="77777777" w:rsidR="00741003" w:rsidRPr="004F111B" w:rsidRDefault="00741003" w:rsidP="006A7084">
            <w:pPr>
              <w:pStyle w:val="a3"/>
              <w:ind w:left="360"/>
              <w:jc w:val="center"/>
              <w:rPr>
                <w:rFonts w:ascii="Times New Roman" w:hAnsi="Times New Roman" w:cs="Times New Roman"/>
                <w:sz w:val="26"/>
                <w:szCs w:val="26"/>
              </w:rPr>
            </w:pPr>
            <w:r w:rsidRPr="004F111B">
              <w:rPr>
                <w:rFonts w:ascii="Times New Roman" w:hAnsi="Times New Roman" w:cs="Times New Roman"/>
                <w:sz w:val="26"/>
                <w:szCs w:val="26"/>
                <w:lang w:bidi="en-US"/>
              </w:rPr>
              <w:t xml:space="preserve">3. Signature </w:t>
            </w:r>
          </w:p>
        </w:tc>
      </w:tr>
      <w:tr w:rsidR="00741003" w:rsidRPr="004F111B" w14:paraId="0BB0983B" w14:textId="77777777" w:rsidTr="002D2F31">
        <w:trPr>
          <w:trHeight w:val="1357"/>
        </w:trPr>
        <w:tc>
          <w:tcPr>
            <w:tcW w:w="10348" w:type="dxa"/>
            <w:gridSpan w:val="2"/>
          </w:tcPr>
          <w:p w14:paraId="5F5FACE7" w14:textId="77777777" w:rsidR="00EE6568" w:rsidRPr="004F111B" w:rsidRDefault="00EE6568" w:rsidP="00EE6568">
            <w:pPr>
              <w:rPr>
                <w:rFonts w:eastAsia="Calibri"/>
                <w:sz w:val="26"/>
                <w:szCs w:val="26"/>
              </w:rPr>
            </w:pPr>
            <w:r w:rsidRPr="004F111B">
              <w:rPr>
                <w:sz w:val="26"/>
                <w:szCs w:val="26"/>
                <w:lang w:bidi="en-US"/>
              </w:rPr>
              <w:t xml:space="preserve">3.1 Head of </w:t>
            </w:r>
          </w:p>
          <w:p w14:paraId="7479110D" w14:textId="77777777" w:rsidR="00EE6568" w:rsidRPr="004F111B" w:rsidRDefault="00EE6568" w:rsidP="00EE6568">
            <w:pPr>
              <w:rPr>
                <w:rFonts w:eastAsia="Calibri"/>
                <w:sz w:val="26"/>
                <w:szCs w:val="26"/>
              </w:rPr>
            </w:pPr>
            <w:r w:rsidRPr="004F111B">
              <w:rPr>
                <w:sz w:val="26"/>
                <w:szCs w:val="26"/>
                <w:lang w:bidi="en-US"/>
              </w:rPr>
              <w:t>Corporate Governance</w:t>
            </w:r>
          </w:p>
          <w:p w14:paraId="63901895" w14:textId="77777777" w:rsidR="00EE6568" w:rsidRPr="004F111B" w:rsidRDefault="00EE6568" w:rsidP="004F111B">
            <w:pPr>
              <w:tabs>
                <w:tab w:val="left" w:pos="4070"/>
                <w:tab w:val="left" w:leader="underscore" w:pos="7405"/>
              </w:tabs>
              <w:rPr>
                <w:rFonts w:eastAsia="Calibri"/>
                <w:sz w:val="26"/>
                <w:szCs w:val="26"/>
              </w:rPr>
            </w:pPr>
            <w:r w:rsidRPr="004F111B">
              <w:rPr>
                <w:sz w:val="26"/>
                <w:szCs w:val="26"/>
                <w:lang w:bidi="en-US"/>
              </w:rPr>
              <w:t>and Shareholder Relations</w:t>
            </w:r>
            <w:r w:rsidR="004F111B">
              <w:rPr>
                <w:sz w:val="26"/>
                <w:szCs w:val="26"/>
                <w:lang w:bidi="en-US"/>
              </w:rPr>
              <w:t xml:space="preserve"> </w:t>
            </w:r>
            <w:r w:rsidR="004F111B">
              <w:rPr>
                <w:sz w:val="26"/>
                <w:szCs w:val="26"/>
                <w:lang w:bidi="en-US"/>
              </w:rPr>
              <w:tab/>
            </w:r>
            <w:r w:rsidR="004F111B">
              <w:rPr>
                <w:sz w:val="26"/>
                <w:szCs w:val="26"/>
                <w:lang w:bidi="en-US"/>
              </w:rPr>
              <w:tab/>
              <w:t xml:space="preserve"> </w:t>
            </w:r>
            <w:r w:rsidRPr="004F111B">
              <w:rPr>
                <w:sz w:val="26"/>
                <w:szCs w:val="26"/>
                <w:lang w:bidi="en-US"/>
              </w:rPr>
              <w:t>Е.Е. Didenko</w:t>
            </w:r>
          </w:p>
          <w:p w14:paraId="2A0BE585" w14:textId="77777777" w:rsidR="00FF52C2" w:rsidRPr="004F111B" w:rsidRDefault="00EE6568" w:rsidP="004F111B">
            <w:pPr>
              <w:tabs>
                <w:tab w:val="left" w:pos="6130"/>
              </w:tabs>
              <w:rPr>
                <w:rFonts w:eastAsia="Calibri"/>
                <w:sz w:val="26"/>
                <w:szCs w:val="26"/>
                <w:lang w:eastAsia="en-US"/>
              </w:rPr>
            </w:pPr>
            <w:r w:rsidRPr="004F111B">
              <w:rPr>
                <w:sz w:val="26"/>
                <w:szCs w:val="26"/>
                <w:lang w:bidi="en-US"/>
              </w:rPr>
              <w:t>(by Attorney</w:t>
            </w:r>
            <w:r w:rsidR="004F111B">
              <w:rPr>
                <w:sz w:val="26"/>
                <w:szCs w:val="26"/>
                <w:lang w:bidi="en-US"/>
              </w:rPr>
              <w:t xml:space="preserve"> No.</w:t>
            </w:r>
            <w:r w:rsidR="00505002">
              <w:rPr>
                <w:sz w:val="26"/>
                <w:szCs w:val="26"/>
                <w:lang w:bidi="en-US"/>
              </w:rPr>
              <w:t xml:space="preserve"> </w:t>
            </w:r>
            <w:r w:rsidR="004F111B">
              <w:rPr>
                <w:sz w:val="26"/>
                <w:szCs w:val="26"/>
                <w:lang w:bidi="en-US"/>
              </w:rPr>
              <w:t>119/10-1406 dd. 19.12.2018)</w:t>
            </w:r>
            <w:r w:rsidR="004F111B">
              <w:rPr>
                <w:sz w:val="26"/>
                <w:szCs w:val="26"/>
                <w:lang w:bidi="en-US"/>
              </w:rPr>
              <w:tab/>
            </w:r>
            <w:r w:rsidRPr="004F111B">
              <w:rPr>
                <w:sz w:val="26"/>
                <w:szCs w:val="26"/>
                <w:lang w:bidi="en-US"/>
              </w:rPr>
              <w:t>(signature)</w:t>
            </w:r>
          </w:p>
          <w:p w14:paraId="2570ED8B" w14:textId="77777777" w:rsidR="00F70266" w:rsidRPr="004F111B" w:rsidRDefault="00F70266" w:rsidP="00F70266">
            <w:pPr>
              <w:pStyle w:val="a3"/>
              <w:rPr>
                <w:rFonts w:ascii="Times New Roman" w:hAnsi="Times New Roman" w:cs="Times New Roman"/>
                <w:sz w:val="26"/>
                <w:szCs w:val="26"/>
              </w:rPr>
            </w:pPr>
          </w:p>
          <w:p w14:paraId="7855B93F" w14:textId="77777777" w:rsidR="00741003" w:rsidRPr="004F111B" w:rsidRDefault="00F70266" w:rsidP="004F111B">
            <w:pPr>
              <w:pStyle w:val="a3"/>
              <w:tabs>
                <w:tab w:val="left" w:pos="6130"/>
              </w:tabs>
              <w:rPr>
                <w:rFonts w:ascii="Times New Roman" w:hAnsi="Times New Roman" w:cs="Times New Roman"/>
                <w:sz w:val="26"/>
                <w:szCs w:val="26"/>
              </w:rPr>
            </w:pPr>
            <w:r w:rsidRPr="004F111B">
              <w:rPr>
                <w:rFonts w:ascii="Times New Roman" w:hAnsi="Times New Roman" w:cs="Times New Roman"/>
                <w:sz w:val="26"/>
                <w:szCs w:val="26"/>
                <w:lang w:bidi="en-US"/>
              </w:rPr>
              <w:t>3.2. Date 02 October 2019</w:t>
            </w:r>
            <w:r w:rsidR="004F111B">
              <w:rPr>
                <w:rFonts w:ascii="Times New Roman" w:hAnsi="Times New Roman" w:cs="Times New Roman"/>
                <w:sz w:val="26"/>
                <w:szCs w:val="26"/>
                <w:lang w:bidi="en-US"/>
              </w:rPr>
              <w:t xml:space="preserve"> </w:t>
            </w:r>
            <w:r w:rsidR="004F111B">
              <w:rPr>
                <w:rFonts w:ascii="Times New Roman" w:hAnsi="Times New Roman" w:cs="Times New Roman"/>
                <w:sz w:val="26"/>
                <w:szCs w:val="26"/>
                <w:lang w:bidi="en-US"/>
              </w:rPr>
              <w:tab/>
            </w:r>
            <w:r w:rsidRPr="004F111B">
              <w:rPr>
                <w:rFonts w:ascii="Times New Roman" w:hAnsi="Times New Roman" w:cs="Times New Roman"/>
                <w:sz w:val="26"/>
                <w:szCs w:val="26"/>
                <w:lang w:bidi="en-US"/>
              </w:rPr>
              <w:t>L.S.</w:t>
            </w:r>
          </w:p>
        </w:tc>
      </w:tr>
    </w:tbl>
    <w:p w14:paraId="10CCCA1B" w14:textId="77777777" w:rsidR="0045226D" w:rsidRPr="004F111B" w:rsidRDefault="0045226D" w:rsidP="00293187">
      <w:pPr>
        <w:jc w:val="center"/>
        <w:rPr>
          <w:sz w:val="26"/>
          <w:szCs w:val="26"/>
        </w:rPr>
      </w:pPr>
    </w:p>
    <w:sectPr w:rsidR="0045226D" w:rsidRPr="004F111B" w:rsidSect="00293187">
      <w:pgSz w:w="11906" w:h="16838"/>
      <w:pgMar w:top="568" w:right="567" w:bottom="4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0CE4CA" w14:textId="77777777" w:rsidR="00AF55F4" w:rsidRDefault="00AF55F4" w:rsidP="00C5099C">
      <w:r>
        <w:separator/>
      </w:r>
    </w:p>
  </w:endnote>
  <w:endnote w:type="continuationSeparator" w:id="0">
    <w:p w14:paraId="47DA54B1" w14:textId="77777777" w:rsidR="00AF55F4" w:rsidRDefault="00AF55F4" w:rsidP="00C50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2B8AFD" w14:textId="77777777" w:rsidR="00AF55F4" w:rsidRDefault="00AF55F4" w:rsidP="00C5099C">
      <w:r>
        <w:separator/>
      </w:r>
    </w:p>
  </w:footnote>
  <w:footnote w:type="continuationSeparator" w:id="0">
    <w:p w14:paraId="4B1A67EC" w14:textId="77777777" w:rsidR="00AF55F4" w:rsidRDefault="00AF55F4" w:rsidP="00C509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661EBA"/>
    <w:multiLevelType w:val="hybridMultilevel"/>
    <w:tmpl w:val="CC22B15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EC0426B"/>
    <w:multiLevelType w:val="hybridMultilevel"/>
    <w:tmpl w:val="F66AD72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304F136D"/>
    <w:multiLevelType w:val="hybridMultilevel"/>
    <w:tmpl w:val="F190AF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CE3180A"/>
    <w:multiLevelType w:val="multilevel"/>
    <w:tmpl w:val="0419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798" w:hanging="504"/>
      </w:pPr>
    </w:lvl>
    <w:lvl w:ilvl="3">
      <w:start w:val="1"/>
      <w:numFmt w:val="decimal"/>
      <w:lvlText w:val="%1.%2.%3.%4."/>
      <w:lvlJc w:val="left"/>
      <w:pPr>
        <w:ind w:left="1302" w:hanging="648"/>
      </w:pPr>
    </w:lvl>
    <w:lvl w:ilvl="4">
      <w:start w:val="1"/>
      <w:numFmt w:val="decimal"/>
      <w:lvlText w:val="%1.%2.%3.%4.%5."/>
      <w:lvlJc w:val="left"/>
      <w:pPr>
        <w:ind w:left="1806" w:hanging="792"/>
      </w:pPr>
    </w:lvl>
    <w:lvl w:ilvl="5">
      <w:start w:val="1"/>
      <w:numFmt w:val="decimal"/>
      <w:lvlText w:val="%1.%2.%3.%4.%5.%6."/>
      <w:lvlJc w:val="left"/>
      <w:pPr>
        <w:ind w:left="2310" w:hanging="936"/>
      </w:pPr>
    </w:lvl>
    <w:lvl w:ilvl="6">
      <w:start w:val="1"/>
      <w:numFmt w:val="decimal"/>
      <w:lvlText w:val="%1.%2.%3.%4.%5.%6.%7."/>
      <w:lvlJc w:val="left"/>
      <w:pPr>
        <w:ind w:left="2814" w:hanging="1080"/>
      </w:pPr>
    </w:lvl>
    <w:lvl w:ilvl="7">
      <w:start w:val="1"/>
      <w:numFmt w:val="decimal"/>
      <w:lvlText w:val="%1.%2.%3.%4.%5.%6.%7.%8."/>
      <w:lvlJc w:val="left"/>
      <w:pPr>
        <w:ind w:left="3318" w:hanging="1224"/>
      </w:pPr>
    </w:lvl>
    <w:lvl w:ilvl="8">
      <w:start w:val="1"/>
      <w:numFmt w:val="decimal"/>
      <w:lvlText w:val="%1.%2.%3.%4.%5.%6.%7.%8.%9."/>
      <w:lvlJc w:val="left"/>
      <w:pPr>
        <w:ind w:left="3894" w:hanging="1440"/>
      </w:pPr>
    </w:lvl>
  </w:abstractNum>
  <w:abstractNum w:abstractNumId="4">
    <w:nsid w:val="468A6ABE"/>
    <w:multiLevelType w:val="hybridMultilevel"/>
    <w:tmpl w:val="A7A6FE94"/>
    <w:lvl w:ilvl="0" w:tplc="381E655E">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8885629"/>
    <w:multiLevelType w:val="hybridMultilevel"/>
    <w:tmpl w:val="76DA21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5F521414"/>
    <w:multiLevelType w:val="multilevel"/>
    <w:tmpl w:val="C0DA25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2"/>
  </w:num>
  <w:num w:numId="3">
    <w:abstractNumId w:val="5"/>
  </w:num>
  <w:num w:numId="4">
    <w:abstractNumId w:val="3"/>
  </w:num>
  <w:num w:numId="5">
    <w:abstractNumId w:val="0"/>
  </w:num>
  <w:num w:numId="6">
    <w:abstractNumId w:val="1"/>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26D"/>
    <w:rsid w:val="000015B0"/>
    <w:rsid w:val="00010522"/>
    <w:rsid w:val="00010A84"/>
    <w:rsid w:val="00010B6B"/>
    <w:rsid w:val="00015287"/>
    <w:rsid w:val="00020C5E"/>
    <w:rsid w:val="000238F7"/>
    <w:rsid w:val="00036FF9"/>
    <w:rsid w:val="00046601"/>
    <w:rsid w:val="000528AB"/>
    <w:rsid w:val="000655FF"/>
    <w:rsid w:val="000812B4"/>
    <w:rsid w:val="00084028"/>
    <w:rsid w:val="00086832"/>
    <w:rsid w:val="00087563"/>
    <w:rsid w:val="00087DA5"/>
    <w:rsid w:val="00091224"/>
    <w:rsid w:val="000B19A7"/>
    <w:rsid w:val="000B22DB"/>
    <w:rsid w:val="000D1922"/>
    <w:rsid w:val="000D5047"/>
    <w:rsid w:val="000D76C8"/>
    <w:rsid w:val="000D795F"/>
    <w:rsid w:val="000E1FED"/>
    <w:rsid w:val="000E2653"/>
    <w:rsid w:val="000E5E7E"/>
    <w:rsid w:val="000F01FC"/>
    <w:rsid w:val="000F4DFE"/>
    <w:rsid w:val="0010430A"/>
    <w:rsid w:val="0011275D"/>
    <w:rsid w:val="00142353"/>
    <w:rsid w:val="00143D25"/>
    <w:rsid w:val="00155944"/>
    <w:rsid w:val="00155E90"/>
    <w:rsid w:val="00157223"/>
    <w:rsid w:val="00166C79"/>
    <w:rsid w:val="001762AE"/>
    <w:rsid w:val="0018648B"/>
    <w:rsid w:val="00190E0A"/>
    <w:rsid w:val="00196318"/>
    <w:rsid w:val="001A4FE8"/>
    <w:rsid w:val="001A5D8D"/>
    <w:rsid w:val="001B23FD"/>
    <w:rsid w:val="001B4D6A"/>
    <w:rsid w:val="001B5463"/>
    <w:rsid w:val="001B7196"/>
    <w:rsid w:val="001C064D"/>
    <w:rsid w:val="001C5F13"/>
    <w:rsid w:val="001D2761"/>
    <w:rsid w:val="001E000F"/>
    <w:rsid w:val="001E055B"/>
    <w:rsid w:val="001E3A5C"/>
    <w:rsid w:val="001F653F"/>
    <w:rsid w:val="0020007C"/>
    <w:rsid w:val="002009E2"/>
    <w:rsid w:val="0020448C"/>
    <w:rsid w:val="00212EFE"/>
    <w:rsid w:val="0022502C"/>
    <w:rsid w:val="002252C2"/>
    <w:rsid w:val="00232B2C"/>
    <w:rsid w:val="00235C54"/>
    <w:rsid w:val="00236918"/>
    <w:rsid w:val="00265D89"/>
    <w:rsid w:val="00267CD9"/>
    <w:rsid w:val="00271F6A"/>
    <w:rsid w:val="00273E6A"/>
    <w:rsid w:val="00275923"/>
    <w:rsid w:val="002851B0"/>
    <w:rsid w:val="002904FF"/>
    <w:rsid w:val="00290D0F"/>
    <w:rsid w:val="00290EAF"/>
    <w:rsid w:val="00293187"/>
    <w:rsid w:val="00294903"/>
    <w:rsid w:val="00294FB8"/>
    <w:rsid w:val="00295F91"/>
    <w:rsid w:val="002A74CF"/>
    <w:rsid w:val="002C134B"/>
    <w:rsid w:val="002C3ED9"/>
    <w:rsid w:val="002D2643"/>
    <w:rsid w:val="002D2F31"/>
    <w:rsid w:val="002D3460"/>
    <w:rsid w:val="002D6A9E"/>
    <w:rsid w:val="002E2769"/>
    <w:rsid w:val="002E2C8F"/>
    <w:rsid w:val="002F5B8F"/>
    <w:rsid w:val="003146A8"/>
    <w:rsid w:val="00316754"/>
    <w:rsid w:val="00322AEC"/>
    <w:rsid w:val="00322B7B"/>
    <w:rsid w:val="003303DF"/>
    <w:rsid w:val="003318D5"/>
    <w:rsid w:val="00340BA2"/>
    <w:rsid w:val="00356FF6"/>
    <w:rsid w:val="00361703"/>
    <w:rsid w:val="0036257B"/>
    <w:rsid w:val="00364A53"/>
    <w:rsid w:val="003714D8"/>
    <w:rsid w:val="00372AE9"/>
    <w:rsid w:val="003914CE"/>
    <w:rsid w:val="00393C50"/>
    <w:rsid w:val="00396CF0"/>
    <w:rsid w:val="003A0253"/>
    <w:rsid w:val="003A3479"/>
    <w:rsid w:val="003A5EF6"/>
    <w:rsid w:val="003B18CF"/>
    <w:rsid w:val="003B4FA2"/>
    <w:rsid w:val="003B6A95"/>
    <w:rsid w:val="003D4607"/>
    <w:rsid w:val="003D7747"/>
    <w:rsid w:val="003E26F6"/>
    <w:rsid w:val="003F0A20"/>
    <w:rsid w:val="00401D3B"/>
    <w:rsid w:val="00402154"/>
    <w:rsid w:val="00411DDA"/>
    <w:rsid w:val="00413B92"/>
    <w:rsid w:val="00415885"/>
    <w:rsid w:val="00420F04"/>
    <w:rsid w:val="00425F2B"/>
    <w:rsid w:val="004260C4"/>
    <w:rsid w:val="004261B7"/>
    <w:rsid w:val="00434649"/>
    <w:rsid w:val="004501D1"/>
    <w:rsid w:val="0045226D"/>
    <w:rsid w:val="004543EE"/>
    <w:rsid w:val="004548BF"/>
    <w:rsid w:val="004610C7"/>
    <w:rsid w:val="00471361"/>
    <w:rsid w:val="00471BBD"/>
    <w:rsid w:val="004730E2"/>
    <w:rsid w:val="0047315B"/>
    <w:rsid w:val="00474626"/>
    <w:rsid w:val="00475583"/>
    <w:rsid w:val="004918A3"/>
    <w:rsid w:val="004972B6"/>
    <w:rsid w:val="004A4158"/>
    <w:rsid w:val="004A68E9"/>
    <w:rsid w:val="004C0FB3"/>
    <w:rsid w:val="004C6F9E"/>
    <w:rsid w:val="004C7A35"/>
    <w:rsid w:val="004D0A6C"/>
    <w:rsid w:val="004D1160"/>
    <w:rsid w:val="004D1454"/>
    <w:rsid w:val="004D2E11"/>
    <w:rsid w:val="004D532C"/>
    <w:rsid w:val="004D7229"/>
    <w:rsid w:val="004F111B"/>
    <w:rsid w:val="004F1587"/>
    <w:rsid w:val="004F1988"/>
    <w:rsid w:val="004F2011"/>
    <w:rsid w:val="004F5D30"/>
    <w:rsid w:val="004F6A0D"/>
    <w:rsid w:val="00505002"/>
    <w:rsid w:val="00516D7E"/>
    <w:rsid w:val="00524BEA"/>
    <w:rsid w:val="005342A7"/>
    <w:rsid w:val="0055168B"/>
    <w:rsid w:val="00552531"/>
    <w:rsid w:val="005546E2"/>
    <w:rsid w:val="00566266"/>
    <w:rsid w:val="00570456"/>
    <w:rsid w:val="00573881"/>
    <w:rsid w:val="00573D3B"/>
    <w:rsid w:val="00580C67"/>
    <w:rsid w:val="005875C8"/>
    <w:rsid w:val="00591B51"/>
    <w:rsid w:val="005947D9"/>
    <w:rsid w:val="005A0F7C"/>
    <w:rsid w:val="005B57E1"/>
    <w:rsid w:val="005B7917"/>
    <w:rsid w:val="005C3402"/>
    <w:rsid w:val="005C4FDA"/>
    <w:rsid w:val="005C5847"/>
    <w:rsid w:val="005D36EB"/>
    <w:rsid w:val="005E0024"/>
    <w:rsid w:val="005E4E27"/>
    <w:rsid w:val="005F1291"/>
    <w:rsid w:val="005F2B8D"/>
    <w:rsid w:val="00601200"/>
    <w:rsid w:val="006016DF"/>
    <w:rsid w:val="00603716"/>
    <w:rsid w:val="00604A93"/>
    <w:rsid w:val="0060737B"/>
    <w:rsid w:val="00621072"/>
    <w:rsid w:val="00621677"/>
    <w:rsid w:val="00627B34"/>
    <w:rsid w:val="0063248E"/>
    <w:rsid w:val="006369DF"/>
    <w:rsid w:val="0064044B"/>
    <w:rsid w:val="006430C7"/>
    <w:rsid w:val="00647521"/>
    <w:rsid w:val="00650F04"/>
    <w:rsid w:val="00655BF7"/>
    <w:rsid w:val="00671326"/>
    <w:rsid w:val="00672C8F"/>
    <w:rsid w:val="00672CAF"/>
    <w:rsid w:val="00680DC8"/>
    <w:rsid w:val="0068193A"/>
    <w:rsid w:val="00683906"/>
    <w:rsid w:val="00684705"/>
    <w:rsid w:val="0068696B"/>
    <w:rsid w:val="00687F83"/>
    <w:rsid w:val="006A7084"/>
    <w:rsid w:val="006C05EA"/>
    <w:rsid w:val="006C3F57"/>
    <w:rsid w:val="006F08DD"/>
    <w:rsid w:val="006F09D1"/>
    <w:rsid w:val="006F73C2"/>
    <w:rsid w:val="00703358"/>
    <w:rsid w:val="0070694D"/>
    <w:rsid w:val="0070781F"/>
    <w:rsid w:val="00714127"/>
    <w:rsid w:val="00735A80"/>
    <w:rsid w:val="007406B8"/>
    <w:rsid w:val="00741003"/>
    <w:rsid w:val="00741B96"/>
    <w:rsid w:val="00753122"/>
    <w:rsid w:val="0075374F"/>
    <w:rsid w:val="007549AD"/>
    <w:rsid w:val="00761EF7"/>
    <w:rsid w:val="00762E99"/>
    <w:rsid w:val="00763856"/>
    <w:rsid w:val="007638FB"/>
    <w:rsid w:val="00766FD4"/>
    <w:rsid w:val="00770F84"/>
    <w:rsid w:val="00773A71"/>
    <w:rsid w:val="00791BEF"/>
    <w:rsid w:val="007B689E"/>
    <w:rsid w:val="007C3B23"/>
    <w:rsid w:val="007D3EC1"/>
    <w:rsid w:val="007D6383"/>
    <w:rsid w:val="007E1E11"/>
    <w:rsid w:val="007E3016"/>
    <w:rsid w:val="007E6DEB"/>
    <w:rsid w:val="007E71AC"/>
    <w:rsid w:val="007F1236"/>
    <w:rsid w:val="007F4C66"/>
    <w:rsid w:val="00802AB4"/>
    <w:rsid w:val="008066B5"/>
    <w:rsid w:val="00815FFD"/>
    <w:rsid w:val="00822BB9"/>
    <w:rsid w:val="008276FB"/>
    <w:rsid w:val="008361AE"/>
    <w:rsid w:val="00844B2D"/>
    <w:rsid w:val="00845652"/>
    <w:rsid w:val="008530DD"/>
    <w:rsid w:val="008569D0"/>
    <w:rsid w:val="00860E57"/>
    <w:rsid w:val="008619C6"/>
    <w:rsid w:val="008723BA"/>
    <w:rsid w:val="00872891"/>
    <w:rsid w:val="00874105"/>
    <w:rsid w:val="00875619"/>
    <w:rsid w:val="00881D9B"/>
    <w:rsid w:val="00882836"/>
    <w:rsid w:val="00884779"/>
    <w:rsid w:val="0088679A"/>
    <w:rsid w:val="0089796E"/>
    <w:rsid w:val="008A5F53"/>
    <w:rsid w:val="008A6ACB"/>
    <w:rsid w:val="008B04F9"/>
    <w:rsid w:val="008B050F"/>
    <w:rsid w:val="008C08E0"/>
    <w:rsid w:val="008C499E"/>
    <w:rsid w:val="008C7F2D"/>
    <w:rsid w:val="008D32C2"/>
    <w:rsid w:val="008D6244"/>
    <w:rsid w:val="008E1475"/>
    <w:rsid w:val="008E15B1"/>
    <w:rsid w:val="008E6672"/>
    <w:rsid w:val="008F0867"/>
    <w:rsid w:val="008F0C8A"/>
    <w:rsid w:val="008F10E8"/>
    <w:rsid w:val="008F5010"/>
    <w:rsid w:val="008F71E7"/>
    <w:rsid w:val="00902817"/>
    <w:rsid w:val="00904BB7"/>
    <w:rsid w:val="009056AD"/>
    <w:rsid w:val="00910208"/>
    <w:rsid w:val="009116BA"/>
    <w:rsid w:val="009234A4"/>
    <w:rsid w:val="009335F3"/>
    <w:rsid w:val="00933DFA"/>
    <w:rsid w:val="00934ABE"/>
    <w:rsid w:val="00935D95"/>
    <w:rsid w:val="00936E61"/>
    <w:rsid w:val="0093799B"/>
    <w:rsid w:val="0094398D"/>
    <w:rsid w:val="00947961"/>
    <w:rsid w:val="009531E3"/>
    <w:rsid w:val="00960705"/>
    <w:rsid w:val="00961820"/>
    <w:rsid w:val="00971A36"/>
    <w:rsid w:val="00972320"/>
    <w:rsid w:val="00974C3F"/>
    <w:rsid w:val="0098348B"/>
    <w:rsid w:val="009858D7"/>
    <w:rsid w:val="00985C35"/>
    <w:rsid w:val="00990A73"/>
    <w:rsid w:val="00995D15"/>
    <w:rsid w:val="00995FC7"/>
    <w:rsid w:val="009A2F8C"/>
    <w:rsid w:val="009B3565"/>
    <w:rsid w:val="009C1EE5"/>
    <w:rsid w:val="009C72DB"/>
    <w:rsid w:val="009D0BEB"/>
    <w:rsid w:val="009D0FC3"/>
    <w:rsid w:val="009E0703"/>
    <w:rsid w:val="009E59C7"/>
    <w:rsid w:val="009F027C"/>
    <w:rsid w:val="009F3D9B"/>
    <w:rsid w:val="009F6366"/>
    <w:rsid w:val="00A03CE2"/>
    <w:rsid w:val="00A04BCB"/>
    <w:rsid w:val="00A103A2"/>
    <w:rsid w:val="00A212F6"/>
    <w:rsid w:val="00A258B1"/>
    <w:rsid w:val="00A32B37"/>
    <w:rsid w:val="00A32CCA"/>
    <w:rsid w:val="00A46683"/>
    <w:rsid w:val="00A50E41"/>
    <w:rsid w:val="00A5222F"/>
    <w:rsid w:val="00A535F3"/>
    <w:rsid w:val="00A8319A"/>
    <w:rsid w:val="00A85559"/>
    <w:rsid w:val="00A87AC1"/>
    <w:rsid w:val="00A92232"/>
    <w:rsid w:val="00A92372"/>
    <w:rsid w:val="00AA0667"/>
    <w:rsid w:val="00AA1431"/>
    <w:rsid w:val="00AA172E"/>
    <w:rsid w:val="00AA7EC8"/>
    <w:rsid w:val="00AB56DE"/>
    <w:rsid w:val="00AC2A4D"/>
    <w:rsid w:val="00AF5565"/>
    <w:rsid w:val="00AF55F4"/>
    <w:rsid w:val="00B01511"/>
    <w:rsid w:val="00B060B5"/>
    <w:rsid w:val="00B17FBB"/>
    <w:rsid w:val="00B22153"/>
    <w:rsid w:val="00B22188"/>
    <w:rsid w:val="00B24936"/>
    <w:rsid w:val="00B34342"/>
    <w:rsid w:val="00B366D0"/>
    <w:rsid w:val="00B36D59"/>
    <w:rsid w:val="00B442D4"/>
    <w:rsid w:val="00B56683"/>
    <w:rsid w:val="00B57CDE"/>
    <w:rsid w:val="00B70C4F"/>
    <w:rsid w:val="00B7221F"/>
    <w:rsid w:val="00B905ED"/>
    <w:rsid w:val="00B93DEA"/>
    <w:rsid w:val="00B96624"/>
    <w:rsid w:val="00BA33B5"/>
    <w:rsid w:val="00BA4527"/>
    <w:rsid w:val="00BA5195"/>
    <w:rsid w:val="00BE3636"/>
    <w:rsid w:val="00BF227F"/>
    <w:rsid w:val="00BF2607"/>
    <w:rsid w:val="00BF59D1"/>
    <w:rsid w:val="00BF6394"/>
    <w:rsid w:val="00BF7BAE"/>
    <w:rsid w:val="00BF7ED2"/>
    <w:rsid w:val="00C02B3B"/>
    <w:rsid w:val="00C07688"/>
    <w:rsid w:val="00C10CBB"/>
    <w:rsid w:val="00C13329"/>
    <w:rsid w:val="00C14210"/>
    <w:rsid w:val="00C20EB4"/>
    <w:rsid w:val="00C21D8D"/>
    <w:rsid w:val="00C3437B"/>
    <w:rsid w:val="00C34EC8"/>
    <w:rsid w:val="00C35A56"/>
    <w:rsid w:val="00C433CB"/>
    <w:rsid w:val="00C47824"/>
    <w:rsid w:val="00C507C0"/>
    <w:rsid w:val="00C5099C"/>
    <w:rsid w:val="00C50A27"/>
    <w:rsid w:val="00C546A3"/>
    <w:rsid w:val="00C555D2"/>
    <w:rsid w:val="00C57545"/>
    <w:rsid w:val="00C63F13"/>
    <w:rsid w:val="00C64997"/>
    <w:rsid w:val="00C64ADF"/>
    <w:rsid w:val="00C67A2E"/>
    <w:rsid w:val="00C75537"/>
    <w:rsid w:val="00C76CE5"/>
    <w:rsid w:val="00C94757"/>
    <w:rsid w:val="00C96DF4"/>
    <w:rsid w:val="00CB1E20"/>
    <w:rsid w:val="00CD46FD"/>
    <w:rsid w:val="00CF078F"/>
    <w:rsid w:val="00CF74AC"/>
    <w:rsid w:val="00D00077"/>
    <w:rsid w:val="00D0201A"/>
    <w:rsid w:val="00D0458D"/>
    <w:rsid w:val="00D05386"/>
    <w:rsid w:val="00D11A32"/>
    <w:rsid w:val="00D2430D"/>
    <w:rsid w:val="00D26470"/>
    <w:rsid w:val="00D266D3"/>
    <w:rsid w:val="00D26F31"/>
    <w:rsid w:val="00D276C2"/>
    <w:rsid w:val="00D3655F"/>
    <w:rsid w:val="00D42C06"/>
    <w:rsid w:val="00D45800"/>
    <w:rsid w:val="00D549B8"/>
    <w:rsid w:val="00D661CA"/>
    <w:rsid w:val="00D67557"/>
    <w:rsid w:val="00D7746C"/>
    <w:rsid w:val="00D83715"/>
    <w:rsid w:val="00D8755C"/>
    <w:rsid w:val="00D90760"/>
    <w:rsid w:val="00D91C77"/>
    <w:rsid w:val="00D967F8"/>
    <w:rsid w:val="00DB7480"/>
    <w:rsid w:val="00DE5AED"/>
    <w:rsid w:val="00DF0432"/>
    <w:rsid w:val="00DF1458"/>
    <w:rsid w:val="00E07E71"/>
    <w:rsid w:val="00E10D4D"/>
    <w:rsid w:val="00E111C0"/>
    <w:rsid w:val="00E14EDF"/>
    <w:rsid w:val="00E2472C"/>
    <w:rsid w:val="00E339CF"/>
    <w:rsid w:val="00E36F2C"/>
    <w:rsid w:val="00E474E2"/>
    <w:rsid w:val="00E52512"/>
    <w:rsid w:val="00E57436"/>
    <w:rsid w:val="00E60710"/>
    <w:rsid w:val="00E6261F"/>
    <w:rsid w:val="00E64EE6"/>
    <w:rsid w:val="00E65BBD"/>
    <w:rsid w:val="00E748F7"/>
    <w:rsid w:val="00E75226"/>
    <w:rsid w:val="00E84116"/>
    <w:rsid w:val="00E91F09"/>
    <w:rsid w:val="00E9541C"/>
    <w:rsid w:val="00E96B69"/>
    <w:rsid w:val="00E9711F"/>
    <w:rsid w:val="00EA729C"/>
    <w:rsid w:val="00EB4856"/>
    <w:rsid w:val="00EC0C43"/>
    <w:rsid w:val="00EC1DE4"/>
    <w:rsid w:val="00EC1F14"/>
    <w:rsid w:val="00EC4854"/>
    <w:rsid w:val="00ED1BFD"/>
    <w:rsid w:val="00ED2616"/>
    <w:rsid w:val="00EE1A36"/>
    <w:rsid w:val="00EE2DB9"/>
    <w:rsid w:val="00EE6568"/>
    <w:rsid w:val="00EF0A1F"/>
    <w:rsid w:val="00EF78F8"/>
    <w:rsid w:val="00F008ED"/>
    <w:rsid w:val="00F03071"/>
    <w:rsid w:val="00F05707"/>
    <w:rsid w:val="00F146B6"/>
    <w:rsid w:val="00F20639"/>
    <w:rsid w:val="00F353FC"/>
    <w:rsid w:val="00F4206E"/>
    <w:rsid w:val="00F46136"/>
    <w:rsid w:val="00F6573B"/>
    <w:rsid w:val="00F66A85"/>
    <w:rsid w:val="00F70266"/>
    <w:rsid w:val="00F8391D"/>
    <w:rsid w:val="00F906CE"/>
    <w:rsid w:val="00F97604"/>
    <w:rsid w:val="00FD0EF4"/>
    <w:rsid w:val="00FE3323"/>
    <w:rsid w:val="00FE41BE"/>
    <w:rsid w:val="00FF4125"/>
    <w:rsid w:val="00FF5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A55FF"/>
  <w15:docId w15:val="{BA372FEE-DE53-4138-8E76-1B9C7111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226D"/>
    <w:pPr>
      <w:autoSpaceDE w:val="0"/>
      <w:autoSpaceDN w:val="0"/>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A9223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60705"/>
    <w:pPr>
      <w:keepNext/>
      <w:autoSpaceDE/>
      <w:autoSpaceDN/>
      <w:spacing w:before="240" w:after="60"/>
      <w:outlineLvl w:val="2"/>
    </w:pPr>
    <w:rPr>
      <w:rFonts w:ascii="Arial" w:hAnsi="Arial" w:cs="Arial"/>
      <w:b/>
      <w:bCs/>
      <w:sz w:val="26"/>
      <w:szCs w:val="26"/>
    </w:rPr>
  </w:style>
  <w:style w:type="paragraph" w:styleId="4">
    <w:name w:val="heading 4"/>
    <w:basedOn w:val="a"/>
    <w:next w:val="a"/>
    <w:link w:val="40"/>
    <w:qFormat/>
    <w:rsid w:val="00960705"/>
    <w:pPr>
      <w:keepNext/>
      <w:autoSpaceDE/>
      <w:autoSpaceDN/>
      <w:spacing w:before="240" w:after="60"/>
      <w:outlineLvl w:val="3"/>
    </w:pPr>
    <w:rPr>
      <w:b/>
      <w:bCs/>
      <w:sz w:val="28"/>
      <w:szCs w:val="28"/>
    </w:rPr>
  </w:style>
  <w:style w:type="paragraph" w:styleId="5">
    <w:name w:val="heading 5"/>
    <w:basedOn w:val="a"/>
    <w:next w:val="a"/>
    <w:link w:val="50"/>
    <w:uiPriority w:val="9"/>
    <w:unhideWhenUsed/>
    <w:qFormat/>
    <w:rsid w:val="00A92232"/>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A92232"/>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A9223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A92232"/>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226D"/>
    <w:pPr>
      <w:spacing w:after="0" w:line="240" w:lineRule="auto"/>
    </w:pPr>
  </w:style>
  <w:style w:type="table" w:styleId="a4">
    <w:name w:val="Table Grid"/>
    <w:basedOn w:val="a1"/>
    <w:uiPriority w:val="59"/>
    <w:rsid w:val="004522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rsid w:val="0045226D"/>
    <w:pPr>
      <w:tabs>
        <w:tab w:val="center" w:pos="4677"/>
        <w:tab w:val="right" w:pos="9355"/>
      </w:tabs>
    </w:pPr>
  </w:style>
  <w:style w:type="character" w:customStyle="1" w:styleId="a6">
    <w:name w:val="Верхний колонтитул Знак"/>
    <w:basedOn w:val="a0"/>
    <w:link w:val="a5"/>
    <w:uiPriority w:val="99"/>
    <w:rsid w:val="0045226D"/>
    <w:rPr>
      <w:rFonts w:ascii="Times New Roman" w:eastAsia="Times New Roman" w:hAnsi="Times New Roman" w:cs="Times New Roman"/>
      <w:sz w:val="24"/>
      <w:szCs w:val="24"/>
      <w:lang w:eastAsia="ru-RU"/>
    </w:rPr>
  </w:style>
  <w:style w:type="paragraph" w:styleId="a7">
    <w:name w:val="List Paragraph"/>
    <w:basedOn w:val="a"/>
    <w:uiPriority w:val="34"/>
    <w:qFormat/>
    <w:rsid w:val="00232B2C"/>
    <w:pPr>
      <w:ind w:left="720"/>
      <w:contextualSpacing/>
    </w:pPr>
  </w:style>
  <w:style w:type="paragraph" w:customStyle="1" w:styleId="ConsPlusNormal">
    <w:name w:val="ConsPlusNormal"/>
    <w:rsid w:val="00232B2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aliases w:val="body text,Iniiaiie oaeno Ciae,текст таблицы,Шаблон для отчетов по оценке,Подпись1,Основной текст Знак Знак Знак Знак Знак Знак,Письмо в Интернет,Îñíîâíîé òåêñò Çíàê"/>
    <w:basedOn w:val="a"/>
    <w:link w:val="a9"/>
    <w:rsid w:val="008F5010"/>
    <w:pPr>
      <w:autoSpaceDE/>
      <w:autoSpaceDN/>
      <w:jc w:val="both"/>
    </w:pPr>
    <w:rPr>
      <w:sz w:val="28"/>
    </w:rPr>
  </w:style>
  <w:style w:type="character" w:customStyle="1" w:styleId="a9">
    <w:name w:val="Основной текст Знак"/>
    <w:aliases w:val="body text Знак,Iniiaiie oaeno Ciae Знак,текст таблицы Знак,Шаблон для отчетов по оценке Знак,Подпись1 Знак,Основной текст Знак Знак Знак Знак Знак Знак Знак,Письмо в Интернет Знак,Îñíîâíîé òåêñò Çíàê Знак"/>
    <w:basedOn w:val="a0"/>
    <w:link w:val="a8"/>
    <w:rsid w:val="008F5010"/>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960705"/>
    <w:rPr>
      <w:rFonts w:ascii="Arial" w:eastAsia="Times New Roman" w:hAnsi="Arial" w:cs="Arial"/>
      <w:b/>
      <w:bCs/>
      <w:sz w:val="26"/>
      <w:szCs w:val="26"/>
      <w:lang w:eastAsia="ru-RU"/>
    </w:rPr>
  </w:style>
  <w:style w:type="character" w:customStyle="1" w:styleId="40">
    <w:name w:val="Заголовок 4 Знак"/>
    <w:basedOn w:val="a0"/>
    <w:link w:val="4"/>
    <w:rsid w:val="00960705"/>
    <w:rPr>
      <w:rFonts w:ascii="Times New Roman" w:eastAsia="Times New Roman" w:hAnsi="Times New Roman" w:cs="Times New Roman"/>
      <w:b/>
      <w:bCs/>
      <w:sz w:val="28"/>
      <w:szCs w:val="28"/>
      <w:lang w:eastAsia="ru-RU"/>
    </w:rPr>
  </w:style>
  <w:style w:type="paragraph" w:styleId="21">
    <w:name w:val="Body Text Indent 2"/>
    <w:basedOn w:val="a"/>
    <w:link w:val="22"/>
    <w:rsid w:val="00E111C0"/>
    <w:pPr>
      <w:autoSpaceDE/>
      <w:autoSpaceDN/>
      <w:spacing w:after="120" w:line="480" w:lineRule="auto"/>
      <w:ind w:left="283"/>
    </w:pPr>
  </w:style>
  <w:style w:type="character" w:customStyle="1" w:styleId="22">
    <w:name w:val="Основной текст с отступом 2 Знак"/>
    <w:basedOn w:val="a0"/>
    <w:link w:val="21"/>
    <w:rsid w:val="00E111C0"/>
    <w:rPr>
      <w:rFonts w:ascii="Times New Roman" w:eastAsia="Times New Roman" w:hAnsi="Times New Roman" w:cs="Times New Roman"/>
      <w:sz w:val="24"/>
      <w:szCs w:val="24"/>
      <w:lang w:eastAsia="ru-RU"/>
    </w:rPr>
  </w:style>
  <w:style w:type="paragraph" w:customStyle="1" w:styleId="ConsPlusNonformat">
    <w:name w:val="ConsPlusNonformat"/>
    <w:uiPriority w:val="99"/>
    <w:rsid w:val="00E111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8C7F2D"/>
    <w:rPr>
      <w:rFonts w:ascii="Tahoma" w:hAnsi="Tahoma" w:cs="Tahoma"/>
      <w:sz w:val="16"/>
      <w:szCs w:val="16"/>
    </w:rPr>
  </w:style>
  <w:style w:type="character" w:customStyle="1" w:styleId="ab">
    <w:name w:val="Текст выноски Знак"/>
    <w:basedOn w:val="a0"/>
    <w:link w:val="aa"/>
    <w:uiPriority w:val="99"/>
    <w:semiHidden/>
    <w:rsid w:val="008C7F2D"/>
    <w:rPr>
      <w:rFonts w:ascii="Tahoma" w:eastAsia="Times New Roman" w:hAnsi="Tahoma" w:cs="Tahoma"/>
      <w:sz w:val="16"/>
      <w:szCs w:val="16"/>
      <w:lang w:eastAsia="ru-RU"/>
    </w:rPr>
  </w:style>
  <w:style w:type="character" w:customStyle="1" w:styleId="50">
    <w:name w:val="Заголовок 5 Знак"/>
    <w:basedOn w:val="a0"/>
    <w:link w:val="5"/>
    <w:uiPriority w:val="9"/>
    <w:rsid w:val="00A92232"/>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rsid w:val="00A92232"/>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uiPriority w:val="9"/>
    <w:rsid w:val="00A92232"/>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uiPriority w:val="9"/>
    <w:rsid w:val="00A92232"/>
    <w:rPr>
      <w:rFonts w:asciiTheme="majorHAnsi" w:eastAsiaTheme="majorEastAsia" w:hAnsiTheme="majorHAnsi" w:cstheme="majorBidi"/>
      <w:color w:val="404040" w:themeColor="text1" w:themeTint="BF"/>
      <w:sz w:val="20"/>
      <w:szCs w:val="20"/>
      <w:lang w:eastAsia="ru-RU"/>
    </w:rPr>
  </w:style>
  <w:style w:type="character" w:customStyle="1" w:styleId="20">
    <w:name w:val="Заголовок 2 Знак"/>
    <w:basedOn w:val="a0"/>
    <w:link w:val="2"/>
    <w:uiPriority w:val="9"/>
    <w:rsid w:val="00A92232"/>
    <w:rPr>
      <w:rFonts w:asciiTheme="majorHAnsi" w:eastAsiaTheme="majorEastAsia" w:hAnsiTheme="majorHAnsi" w:cstheme="majorBidi"/>
      <w:b/>
      <w:bCs/>
      <w:color w:val="4F81BD" w:themeColor="accent1"/>
      <w:sz w:val="26"/>
      <w:szCs w:val="26"/>
      <w:lang w:eastAsia="ru-RU"/>
    </w:rPr>
  </w:style>
  <w:style w:type="paragraph" w:styleId="ac">
    <w:name w:val="Title"/>
    <w:basedOn w:val="a"/>
    <w:link w:val="ad"/>
    <w:qFormat/>
    <w:rsid w:val="001B5463"/>
    <w:pPr>
      <w:autoSpaceDE/>
      <w:autoSpaceDN/>
      <w:jc w:val="center"/>
    </w:pPr>
    <w:rPr>
      <w:b/>
      <w:szCs w:val="20"/>
    </w:rPr>
  </w:style>
  <w:style w:type="character" w:customStyle="1" w:styleId="ad">
    <w:name w:val="Название Знак"/>
    <w:basedOn w:val="a0"/>
    <w:link w:val="ac"/>
    <w:rsid w:val="001B5463"/>
    <w:rPr>
      <w:rFonts w:ascii="Times New Roman" w:eastAsia="Times New Roman" w:hAnsi="Times New Roman" w:cs="Times New Roman"/>
      <w:b/>
      <w:sz w:val="24"/>
      <w:szCs w:val="20"/>
      <w:lang w:eastAsia="ru-RU"/>
    </w:rPr>
  </w:style>
  <w:style w:type="character" w:styleId="ae">
    <w:name w:val="annotation reference"/>
    <w:basedOn w:val="a0"/>
    <w:uiPriority w:val="99"/>
    <w:semiHidden/>
    <w:unhideWhenUsed/>
    <w:rsid w:val="00990A73"/>
    <w:rPr>
      <w:sz w:val="16"/>
      <w:szCs w:val="16"/>
    </w:rPr>
  </w:style>
  <w:style w:type="paragraph" w:styleId="af">
    <w:name w:val="annotation text"/>
    <w:basedOn w:val="a"/>
    <w:link w:val="af0"/>
    <w:uiPriority w:val="99"/>
    <w:semiHidden/>
    <w:unhideWhenUsed/>
    <w:rsid w:val="00990A73"/>
    <w:rPr>
      <w:sz w:val="20"/>
      <w:szCs w:val="20"/>
    </w:rPr>
  </w:style>
  <w:style w:type="character" w:customStyle="1" w:styleId="af0">
    <w:name w:val="Текст примечания Знак"/>
    <w:basedOn w:val="a0"/>
    <w:link w:val="af"/>
    <w:uiPriority w:val="99"/>
    <w:semiHidden/>
    <w:rsid w:val="00990A7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990A73"/>
    <w:rPr>
      <w:b/>
      <w:bCs/>
    </w:rPr>
  </w:style>
  <w:style w:type="character" w:customStyle="1" w:styleId="af2">
    <w:name w:val="Тема примечания Знак"/>
    <w:basedOn w:val="af0"/>
    <w:link w:val="af1"/>
    <w:uiPriority w:val="99"/>
    <w:semiHidden/>
    <w:rsid w:val="00990A73"/>
    <w:rPr>
      <w:rFonts w:ascii="Times New Roman" w:eastAsia="Times New Roman" w:hAnsi="Times New Roman" w:cs="Times New Roman"/>
      <w:b/>
      <w:bCs/>
      <w:sz w:val="20"/>
      <w:szCs w:val="20"/>
      <w:lang w:eastAsia="ru-RU"/>
    </w:rPr>
  </w:style>
  <w:style w:type="paragraph" w:customStyle="1" w:styleId="ConsNormal">
    <w:name w:val="ConsNormal"/>
    <w:rsid w:val="00C67A2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3">
    <w:name w:val="Hyperlink"/>
    <w:basedOn w:val="a0"/>
    <w:uiPriority w:val="99"/>
    <w:unhideWhenUsed/>
    <w:rsid w:val="00BA33B5"/>
    <w:rPr>
      <w:color w:val="0000FF" w:themeColor="hyperlink"/>
      <w:u w:val="single"/>
    </w:rPr>
  </w:style>
  <w:style w:type="paragraph" w:styleId="31">
    <w:name w:val="Body Text Indent 3"/>
    <w:basedOn w:val="a"/>
    <w:link w:val="32"/>
    <w:uiPriority w:val="99"/>
    <w:semiHidden/>
    <w:unhideWhenUsed/>
    <w:rsid w:val="00401D3B"/>
    <w:pPr>
      <w:spacing w:after="120"/>
      <w:ind w:left="283"/>
    </w:pPr>
    <w:rPr>
      <w:sz w:val="16"/>
      <w:szCs w:val="16"/>
    </w:rPr>
  </w:style>
  <w:style w:type="character" w:customStyle="1" w:styleId="32">
    <w:name w:val="Основной текст с отступом 3 Знак"/>
    <w:basedOn w:val="a0"/>
    <w:link w:val="31"/>
    <w:uiPriority w:val="99"/>
    <w:semiHidden/>
    <w:rsid w:val="00401D3B"/>
    <w:rPr>
      <w:rFonts w:ascii="Times New Roman" w:eastAsia="Times New Roman" w:hAnsi="Times New Roman" w:cs="Times New Roman"/>
      <w:sz w:val="16"/>
      <w:szCs w:val="16"/>
      <w:lang w:eastAsia="ru-RU"/>
    </w:rPr>
  </w:style>
  <w:style w:type="paragraph" w:styleId="af4">
    <w:name w:val="footnote text"/>
    <w:basedOn w:val="a"/>
    <w:link w:val="af5"/>
    <w:rsid w:val="00C5099C"/>
    <w:pPr>
      <w:autoSpaceDE/>
      <w:autoSpaceDN/>
      <w:jc w:val="both"/>
    </w:pPr>
    <w:rPr>
      <w:sz w:val="20"/>
      <w:szCs w:val="20"/>
    </w:rPr>
  </w:style>
  <w:style w:type="character" w:customStyle="1" w:styleId="af5">
    <w:name w:val="Текст сноски Знак"/>
    <w:basedOn w:val="a0"/>
    <w:link w:val="af4"/>
    <w:rsid w:val="00C5099C"/>
    <w:rPr>
      <w:rFonts w:ascii="Times New Roman" w:eastAsia="Times New Roman" w:hAnsi="Times New Roman" w:cs="Times New Roman"/>
      <w:sz w:val="20"/>
      <w:szCs w:val="20"/>
      <w:lang w:eastAsia="ru-RU"/>
    </w:rPr>
  </w:style>
  <w:style w:type="character" w:styleId="af6">
    <w:name w:val="footnote reference"/>
    <w:rsid w:val="00C509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ubanenergo.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isclosure.ru/portal/company.aspx?id=28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F8519E-263F-4F7A-AA70-9EC0D0EC0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Pages>
  <Words>1004</Words>
  <Characters>5728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Kubanenergo</Company>
  <LinksUpToDate>false</LinksUpToDate>
  <CharactersWithSpaces>6719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chernajaeb</dc:creator>
  <cp:lastModifiedBy>Любовь Бухвал</cp:lastModifiedBy>
  <cp:revision>18</cp:revision>
  <cp:lastPrinted>2019-05-20T06:59:00Z</cp:lastPrinted>
  <dcterms:created xsi:type="dcterms:W3CDTF">2019-08-14T05:32:00Z</dcterms:created>
  <dcterms:modified xsi:type="dcterms:W3CDTF">2019-10-07T11:30:00Z</dcterms:modified>
</cp:coreProperties>
</file>