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F7F" w:rsidRPr="004742C4" w:rsidRDefault="00D70CF1" w:rsidP="00DA0F7F">
      <w:pPr>
        <w:jc w:val="center"/>
        <w:rPr>
          <w:b/>
          <w:sz w:val="24"/>
          <w:szCs w:val="24"/>
          <w:lang w:val="en-US"/>
        </w:rPr>
      </w:pPr>
      <w:bookmarkStart w:id="0" w:name="_GoBack"/>
      <w:r w:rsidRPr="004742C4">
        <w:rPr>
          <w:b/>
          <w:sz w:val="24"/>
          <w:szCs w:val="24"/>
          <w:lang w:val="en-US"/>
        </w:rPr>
        <w:t>S</w:t>
      </w:r>
      <w:r w:rsidR="00DA0F7F" w:rsidRPr="004742C4">
        <w:rPr>
          <w:b/>
          <w:sz w:val="24"/>
          <w:szCs w:val="24"/>
          <w:lang w:val="en-US"/>
        </w:rPr>
        <w:t>tatement</w:t>
      </w:r>
      <w:r w:rsidR="00E35264" w:rsidRPr="004742C4">
        <w:rPr>
          <w:b/>
          <w:sz w:val="24"/>
          <w:szCs w:val="24"/>
          <w:lang w:val="en-US"/>
        </w:rPr>
        <w:t xml:space="preserve"> </w:t>
      </w:r>
      <w:r w:rsidRPr="004742C4">
        <w:rPr>
          <w:b/>
          <w:sz w:val="24"/>
          <w:szCs w:val="24"/>
          <w:lang w:val="en-US"/>
        </w:rPr>
        <w:t>“On the results of exercising the preemptive right to acquire additional shares of Public</w:t>
      </w:r>
      <w:r w:rsidRPr="004742C4">
        <w:rPr>
          <w:b/>
          <w:sz w:val="24"/>
          <w:szCs w:val="24"/>
          <w:lang w:val="en-GB"/>
        </w:rPr>
        <w:t xml:space="preserve"> joint stock company of power industry and electrification of Kuban</w:t>
      </w:r>
      <w:r w:rsidRPr="004742C4">
        <w:rPr>
          <w:b/>
          <w:sz w:val="24"/>
          <w:szCs w:val="24"/>
          <w:lang w:val="en-US"/>
        </w:rPr>
        <w:t>”</w:t>
      </w:r>
    </w:p>
    <w:p w:rsidR="00DA0F7F" w:rsidRPr="004742C4" w:rsidRDefault="00DA0F7F" w:rsidP="00DA0F7F">
      <w:pPr>
        <w:jc w:val="center"/>
        <w:rPr>
          <w:b/>
          <w:sz w:val="24"/>
          <w:szCs w:val="24"/>
        </w:rPr>
      </w:pPr>
      <w:r w:rsidRPr="004742C4">
        <w:rPr>
          <w:b/>
          <w:sz w:val="24"/>
          <w:szCs w:val="24"/>
          <w:lang w:val="en-US"/>
        </w:rPr>
        <w:t>(disclosure of insider information</w:t>
      </w:r>
      <w:r w:rsidRPr="004742C4">
        <w:rPr>
          <w:b/>
          <w:sz w:val="24"/>
          <w:szCs w:val="24"/>
        </w:rPr>
        <w:t>)</w:t>
      </w:r>
    </w:p>
    <w:tbl>
      <w:tblPr>
        <w:tblStyle w:val="a7"/>
        <w:tblW w:w="10490" w:type="dxa"/>
        <w:tblInd w:w="-289" w:type="dxa"/>
        <w:tblLook w:val="04A0" w:firstRow="1" w:lastRow="0" w:firstColumn="1" w:lastColumn="0" w:noHBand="0" w:noVBand="1"/>
      </w:tblPr>
      <w:tblGrid>
        <w:gridCol w:w="4933"/>
        <w:gridCol w:w="5557"/>
      </w:tblGrid>
      <w:tr w:rsidR="00DA0F7F" w:rsidRPr="004742C4" w:rsidTr="00AC1FEB">
        <w:tc>
          <w:tcPr>
            <w:tcW w:w="10490" w:type="dxa"/>
            <w:gridSpan w:val="2"/>
          </w:tcPr>
          <w:p w:rsidR="00DA0F7F" w:rsidRPr="004742C4" w:rsidRDefault="00DA0F7F" w:rsidP="00731D11">
            <w:pPr>
              <w:pStyle w:val="a6"/>
              <w:numPr>
                <w:ilvl w:val="0"/>
                <w:numId w:val="1"/>
              </w:numPr>
              <w:jc w:val="center"/>
              <w:rPr>
                <w:rFonts w:ascii="Times New Roman" w:hAnsi="Times New Roman" w:cs="Times New Roman"/>
                <w:sz w:val="24"/>
                <w:szCs w:val="24"/>
              </w:rPr>
            </w:pPr>
            <w:r w:rsidRPr="004742C4">
              <w:rPr>
                <w:rFonts w:ascii="Times New Roman" w:hAnsi="Times New Roman" w:cs="Times New Roman"/>
                <w:sz w:val="24"/>
                <w:szCs w:val="24"/>
                <w:lang w:val="en-US"/>
              </w:rPr>
              <w:t>General information</w:t>
            </w:r>
          </w:p>
        </w:tc>
      </w:tr>
      <w:tr w:rsidR="00DA0F7F" w:rsidRPr="004742C4" w:rsidTr="00AC1FEB">
        <w:tc>
          <w:tcPr>
            <w:tcW w:w="4933" w:type="dxa"/>
          </w:tcPr>
          <w:p w:rsidR="00DA0F7F" w:rsidRPr="004742C4" w:rsidRDefault="00DA0F7F" w:rsidP="00731D11">
            <w:pPr>
              <w:pStyle w:val="a6"/>
              <w:rPr>
                <w:rFonts w:ascii="Times New Roman" w:hAnsi="Times New Roman" w:cs="Times New Roman"/>
                <w:sz w:val="24"/>
                <w:szCs w:val="24"/>
                <w:lang w:val="en-US"/>
              </w:rPr>
            </w:pPr>
            <w:r w:rsidRPr="004742C4">
              <w:rPr>
                <w:rFonts w:ascii="Times New Roman" w:hAnsi="Times New Roman" w:cs="Times New Roman"/>
                <w:sz w:val="24"/>
                <w:szCs w:val="24"/>
                <w:lang w:val="en-US"/>
              </w:rPr>
              <w:t>1.1  Full name of the issuer</w:t>
            </w:r>
          </w:p>
        </w:tc>
        <w:tc>
          <w:tcPr>
            <w:tcW w:w="5557" w:type="dxa"/>
          </w:tcPr>
          <w:p w:rsidR="00DA0F7F" w:rsidRPr="004742C4" w:rsidRDefault="00E35264" w:rsidP="00E35264">
            <w:pPr>
              <w:pStyle w:val="a6"/>
              <w:rPr>
                <w:rFonts w:ascii="Times New Roman" w:hAnsi="Times New Roman" w:cs="Times New Roman"/>
                <w:sz w:val="24"/>
                <w:szCs w:val="24"/>
                <w:lang w:val="en-US"/>
              </w:rPr>
            </w:pPr>
            <w:r w:rsidRPr="004742C4">
              <w:rPr>
                <w:rFonts w:ascii="Times New Roman" w:hAnsi="Times New Roman" w:cs="Times New Roman"/>
                <w:sz w:val="24"/>
                <w:szCs w:val="24"/>
                <w:lang w:val="en-US"/>
              </w:rPr>
              <w:t>Public</w:t>
            </w:r>
            <w:r w:rsidR="00DA0F7F" w:rsidRPr="004742C4">
              <w:rPr>
                <w:rFonts w:ascii="Times New Roman" w:hAnsi="Times New Roman" w:cs="Times New Roman"/>
                <w:sz w:val="24"/>
                <w:szCs w:val="24"/>
                <w:lang w:val="en-GB"/>
              </w:rPr>
              <w:t xml:space="preserve"> </w:t>
            </w:r>
            <w:r w:rsidRPr="004742C4">
              <w:rPr>
                <w:rFonts w:ascii="Times New Roman" w:hAnsi="Times New Roman" w:cs="Times New Roman"/>
                <w:sz w:val="24"/>
                <w:szCs w:val="24"/>
                <w:lang w:val="en-GB"/>
              </w:rPr>
              <w:t xml:space="preserve">joint stock company </w:t>
            </w:r>
            <w:r w:rsidR="00DA0F7F" w:rsidRPr="004742C4">
              <w:rPr>
                <w:rFonts w:ascii="Times New Roman" w:hAnsi="Times New Roman" w:cs="Times New Roman"/>
                <w:sz w:val="24"/>
                <w:szCs w:val="24"/>
                <w:lang w:val="en-GB"/>
              </w:rPr>
              <w:t xml:space="preserve">of </w:t>
            </w:r>
            <w:r w:rsidRPr="004742C4">
              <w:rPr>
                <w:rFonts w:ascii="Times New Roman" w:hAnsi="Times New Roman" w:cs="Times New Roman"/>
                <w:sz w:val="24"/>
                <w:szCs w:val="24"/>
                <w:lang w:val="en-GB"/>
              </w:rPr>
              <w:t>power industry and electrification of Kuban</w:t>
            </w:r>
          </w:p>
        </w:tc>
      </w:tr>
      <w:tr w:rsidR="00DA0F7F" w:rsidRPr="004742C4" w:rsidTr="00AC1FEB">
        <w:tc>
          <w:tcPr>
            <w:tcW w:w="4933" w:type="dxa"/>
          </w:tcPr>
          <w:p w:rsidR="00DA0F7F" w:rsidRPr="004742C4" w:rsidRDefault="00DA0F7F" w:rsidP="00731D11">
            <w:pPr>
              <w:pStyle w:val="a6"/>
              <w:rPr>
                <w:rFonts w:ascii="Times New Roman" w:hAnsi="Times New Roman" w:cs="Times New Roman"/>
                <w:sz w:val="24"/>
                <w:szCs w:val="24"/>
                <w:lang w:val="en-US"/>
              </w:rPr>
            </w:pPr>
            <w:r w:rsidRPr="004742C4">
              <w:rPr>
                <w:rFonts w:ascii="Times New Roman" w:hAnsi="Times New Roman" w:cs="Times New Roman"/>
                <w:sz w:val="24"/>
                <w:szCs w:val="24"/>
                <w:lang w:val="en-US"/>
              </w:rPr>
              <w:t xml:space="preserve">1.2. Abbreviated name </w:t>
            </w:r>
            <w:r w:rsidR="00D70CF1" w:rsidRPr="004742C4">
              <w:rPr>
                <w:rFonts w:ascii="Times New Roman" w:hAnsi="Times New Roman" w:cs="Times New Roman"/>
                <w:sz w:val="24"/>
                <w:szCs w:val="24"/>
                <w:lang w:val="en-US"/>
              </w:rPr>
              <w:t>of the issuer</w:t>
            </w:r>
          </w:p>
        </w:tc>
        <w:tc>
          <w:tcPr>
            <w:tcW w:w="5557" w:type="dxa"/>
          </w:tcPr>
          <w:p w:rsidR="00DA0F7F" w:rsidRPr="004742C4" w:rsidRDefault="00DA0F7F" w:rsidP="00D70CF1">
            <w:pPr>
              <w:pStyle w:val="a6"/>
              <w:rPr>
                <w:rFonts w:ascii="Times New Roman" w:hAnsi="Times New Roman" w:cs="Times New Roman"/>
                <w:sz w:val="24"/>
                <w:szCs w:val="24"/>
                <w:lang w:val="en-US"/>
              </w:rPr>
            </w:pPr>
            <w:r w:rsidRPr="004742C4">
              <w:rPr>
                <w:rFonts w:ascii="Times New Roman" w:hAnsi="Times New Roman" w:cs="Times New Roman"/>
                <w:sz w:val="24"/>
                <w:szCs w:val="24"/>
                <w:lang w:val="en-US"/>
              </w:rPr>
              <w:t xml:space="preserve">Kubanenergo </w:t>
            </w:r>
            <w:r w:rsidR="00E35264" w:rsidRPr="004742C4">
              <w:rPr>
                <w:rFonts w:ascii="Times New Roman" w:hAnsi="Times New Roman" w:cs="Times New Roman"/>
                <w:sz w:val="24"/>
                <w:szCs w:val="24"/>
                <w:lang w:val="en-US"/>
              </w:rPr>
              <w:t>P</w:t>
            </w:r>
            <w:r w:rsidRPr="004742C4">
              <w:rPr>
                <w:rFonts w:ascii="Times New Roman" w:hAnsi="Times New Roman" w:cs="Times New Roman"/>
                <w:sz w:val="24"/>
                <w:szCs w:val="24"/>
                <w:lang w:val="en-US"/>
              </w:rPr>
              <w:t>JSC</w:t>
            </w:r>
          </w:p>
        </w:tc>
      </w:tr>
      <w:tr w:rsidR="00DA0F7F" w:rsidRPr="004742C4" w:rsidTr="00AC1FEB">
        <w:tc>
          <w:tcPr>
            <w:tcW w:w="4933" w:type="dxa"/>
          </w:tcPr>
          <w:p w:rsidR="00DA0F7F" w:rsidRPr="004742C4" w:rsidRDefault="00DA0F7F" w:rsidP="00731D11">
            <w:pPr>
              <w:pStyle w:val="a6"/>
              <w:rPr>
                <w:rFonts w:ascii="Times New Roman" w:hAnsi="Times New Roman" w:cs="Times New Roman"/>
                <w:sz w:val="24"/>
                <w:szCs w:val="24"/>
                <w:lang w:val="en-US"/>
              </w:rPr>
            </w:pPr>
            <w:r w:rsidRPr="004742C4">
              <w:rPr>
                <w:rFonts w:ascii="Times New Roman" w:hAnsi="Times New Roman" w:cs="Times New Roman"/>
                <w:sz w:val="24"/>
                <w:szCs w:val="24"/>
              </w:rPr>
              <w:t xml:space="preserve">1.3. </w:t>
            </w:r>
            <w:r w:rsidRPr="004742C4">
              <w:rPr>
                <w:rFonts w:ascii="Times New Roman" w:hAnsi="Times New Roman" w:cs="Times New Roman"/>
                <w:sz w:val="24"/>
                <w:szCs w:val="24"/>
                <w:lang w:val="en-US"/>
              </w:rPr>
              <w:t>Location</w:t>
            </w:r>
            <w:r w:rsidR="00D70CF1" w:rsidRPr="004742C4">
              <w:rPr>
                <w:rFonts w:ascii="Times New Roman" w:hAnsi="Times New Roman" w:cs="Times New Roman"/>
                <w:sz w:val="24"/>
                <w:szCs w:val="24"/>
                <w:lang w:val="en-US"/>
              </w:rPr>
              <w:t xml:space="preserve"> of the issuer</w:t>
            </w:r>
          </w:p>
        </w:tc>
        <w:tc>
          <w:tcPr>
            <w:tcW w:w="5557" w:type="dxa"/>
          </w:tcPr>
          <w:p w:rsidR="00DA0F7F" w:rsidRPr="004742C4" w:rsidRDefault="00E35264" w:rsidP="00E35264">
            <w:pPr>
              <w:rPr>
                <w:sz w:val="24"/>
                <w:szCs w:val="24"/>
                <w:lang w:val="en-US"/>
              </w:rPr>
            </w:pPr>
            <w:r w:rsidRPr="004742C4">
              <w:rPr>
                <w:sz w:val="24"/>
                <w:szCs w:val="24"/>
                <w:lang w:val="en-US"/>
              </w:rPr>
              <w:t xml:space="preserve">Krasnodar, Russian Federation </w:t>
            </w:r>
          </w:p>
        </w:tc>
      </w:tr>
      <w:tr w:rsidR="00DA0F7F" w:rsidRPr="004742C4" w:rsidTr="00AC1FEB">
        <w:tc>
          <w:tcPr>
            <w:tcW w:w="4933" w:type="dxa"/>
          </w:tcPr>
          <w:p w:rsidR="00DA0F7F" w:rsidRPr="004742C4" w:rsidRDefault="00DA0F7F" w:rsidP="00731D11">
            <w:pPr>
              <w:pStyle w:val="a6"/>
              <w:rPr>
                <w:rFonts w:ascii="Times New Roman" w:hAnsi="Times New Roman" w:cs="Times New Roman"/>
                <w:sz w:val="24"/>
                <w:szCs w:val="24"/>
                <w:lang w:val="en-US"/>
              </w:rPr>
            </w:pPr>
            <w:r w:rsidRPr="004742C4">
              <w:rPr>
                <w:rFonts w:ascii="Times New Roman" w:hAnsi="Times New Roman" w:cs="Times New Roman"/>
                <w:sz w:val="24"/>
                <w:szCs w:val="24"/>
                <w:lang w:val="en-US"/>
              </w:rPr>
              <w:t>1.4. PSRN</w:t>
            </w:r>
            <w:r w:rsidR="00D70CF1" w:rsidRPr="004742C4">
              <w:rPr>
                <w:rFonts w:ascii="Times New Roman" w:hAnsi="Times New Roman" w:cs="Times New Roman"/>
                <w:sz w:val="24"/>
                <w:szCs w:val="24"/>
                <w:lang w:val="en-US"/>
              </w:rPr>
              <w:t xml:space="preserve"> of the issuer</w:t>
            </w:r>
          </w:p>
        </w:tc>
        <w:tc>
          <w:tcPr>
            <w:tcW w:w="5557" w:type="dxa"/>
          </w:tcPr>
          <w:p w:rsidR="00DA0F7F" w:rsidRPr="004742C4" w:rsidRDefault="00DA0F7F" w:rsidP="00731D11">
            <w:pPr>
              <w:pStyle w:val="a6"/>
              <w:rPr>
                <w:rFonts w:ascii="Times New Roman" w:hAnsi="Times New Roman" w:cs="Times New Roman"/>
                <w:sz w:val="24"/>
                <w:szCs w:val="24"/>
                <w:lang w:val="en-US"/>
              </w:rPr>
            </w:pPr>
            <w:r w:rsidRPr="004742C4">
              <w:rPr>
                <w:rFonts w:ascii="Times New Roman" w:hAnsi="Times New Roman" w:cs="Times New Roman"/>
                <w:sz w:val="24"/>
                <w:szCs w:val="24"/>
                <w:lang w:val="en-US"/>
              </w:rPr>
              <w:t>1022301427268</w:t>
            </w:r>
          </w:p>
        </w:tc>
      </w:tr>
      <w:tr w:rsidR="00DA0F7F" w:rsidRPr="004742C4" w:rsidTr="00AC1FEB">
        <w:tc>
          <w:tcPr>
            <w:tcW w:w="4933" w:type="dxa"/>
          </w:tcPr>
          <w:p w:rsidR="00DA0F7F" w:rsidRPr="004742C4" w:rsidRDefault="00DA0F7F" w:rsidP="00731D11">
            <w:pPr>
              <w:pStyle w:val="a6"/>
              <w:rPr>
                <w:rFonts w:ascii="Times New Roman" w:hAnsi="Times New Roman" w:cs="Times New Roman"/>
                <w:sz w:val="24"/>
                <w:szCs w:val="24"/>
                <w:lang w:val="en-US"/>
              </w:rPr>
            </w:pPr>
            <w:r w:rsidRPr="004742C4">
              <w:rPr>
                <w:rFonts w:ascii="Times New Roman" w:hAnsi="Times New Roman" w:cs="Times New Roman"/>
                <w:sz w:val="24"/>
                <w:szCs w:val="24"/>
                <w:lang w:val="en-US"/>
              </w:rPr>
              <w:t>1.5. TIN</w:t>
            </w:r>
            <w:r w:rsidR="00D70CF1" w:rsidRPr="004742C4">
              <w:rPr>
                <w:rFonts w:ascii="Times New Roman" w:hAnsi="Times New Roman" w:cs="Times New Roman"/>
                <w:sz w:val="24"/>
                <w:szCs w:val="24"/>
                <w:lang w:val="en-US"/>
              </w:rPr>
              <w:t xml:space="preserve"> of the issuer</w:t>
            </w:r>
          </w:p>
        </w:tc>
        <w:tc>
          <w:tcPr>
            <w:tcW w:w="5557" w:type="dxa"/>
          </w:tcPr>
          <w:p w:rsidR="00DA0F7F" w:rsidRPr="004742C4" w:rsidRDefault="00DA0F7F" w:rsidP="00731D11">
            <w:pPr>
              <w:pStyle w:val="a6"/>
              <w:rPr>
                <w:rFonts w:ascii="Times New Roman" w:hAnsi="Times New Roman" w:cs="Times New Roman"/>
                <w:sz w:val="24"/>
                <w:szCs w:val="24"/>
                <w:lang w:val="en-US"/>
              </w:rPr>
            </w:pPr>
            <w:r w:rsidRPr="004742C4">
              <w:rPr>
                <w:rFonts w:ascii="Times New Roman" w:hAnsi="Times New Roman" w:cs="Times New Roman"/>
                <w:sz w:val="24"/>
                <w:szCs w:val="24"/>
                <w:lang w:val="en-US"/>
              </w:rPr>
              <w:t>2309001660</w:t>
            </w:r>
          </w:p>
        </w:tc>
      </w:tr>
      <w:tr w:rsidR="00DA0F7F" w:rsidRPr="004742C4" w:rsidTr="00AC1FEB">
        <w:tc>
          <w:tcPr>
            <w:tcW w:w="4933" w:type="dxa"/>
          </w:tcPr>
          <w:p w:rsidR="00DA0F7F" w:rsidRPr="004742C4" w:rsidRDefault="00DA0F7F" w:rsidP="00D70CF1">
            <w:pPr>
              <w:pStyle w:val="a6"/>
              <w:rPr>
                <w:rFonts w:ascii="Times New Roman" w:hAnsi="Times New Roman" w:cs="Times New Roman"/>
                <w:sz w:val="24"/>
                <w:szCs w:val="24"/>
                <w:lang w:val="en-US"/>
              </w:rPr>
            </w:pPr>
            <w:r w:rsidRPr="004742C4">
              <w:rPr>
                <w:rFonts w:ascii="Times New Roman" w:hAnsi="Times New Roman" w:cs="Times New Roman"/>
                <w:sz w:val="24"/>
                <w:szCs w:val="24"/>
                <w:lang w:val="en-US"/>
              </w:rPr>
              <w:t xml:space="preserve">1.6. </w:t>
            </w:r>
            <w:r w:rsidR="00D70CF1" w:rsidRPr="004742C4">
              <w:rPr>
                <w:rFonts w:ascii="Times New Roman" w:hAnsi="Times New Roman" w:cs="Times New Roman"/>
                <w:sz w:val="24"/>
                <w:szCs w:val="24"/>
                <w:lang w:val="en-US"/>
              </w:rPr>
              <w:t>The i</w:t>
            </w:r>
            <w:proofErr w:type="spellStart"/>
            <w:r w:rsidRPr="004742C4">
              <w:rPr>
                <w:rFonts w:ascii="Times New Roman" w:hAnsi="Times New Roman" w:cs="Times New Roman"/>
                <w:sz w:val="24"/>
                <w:szCs w:val="24"/>
                <w:lang w:val="en-GB"/>
              </w:rPr>
              <w:t>ssuer</w:t>
            </w:r>
            <w:proofErr w:type="spellEnd"/>
            <w:r w:rsidR="00D70CF1" w:rsidRPr="004742C4">
              <w:rPr>
                <w:rFonts w:ascii="Times New Roman" w:hAnsi="Times New Roman" w:cs="Times New Roman"/>
                <w:sz w:val="24"/>
                <w:szCs w:val="24"/>
                <w:lang w:val="en-US"/>
              </w:rPr>
              <w:t>’</w:t>
            </w:r>
            <w:r w:rsidRPr="004742C4">
              <w:rPr>
                <w:rFonts w:ascii="Times New Roman" w:hAnsi="Times New Roman" w:cs="Times New Roman"/>
                <w:sz w:val="24"/>
                <w:szCs w:val="24"/>
                <w:lang w:val="en-GB"/>
              </w:rPr>
              <w:t>s unique code assigned by the registering body</w:t>
            </w:r>
          </w:p>
        </w:tc>
        <w:tc>
          <w:tcPr>
            <w:tcW w:w="5557" w:type="dxa"/>
          </w:tcPr>
          <w:p w:rsidR="00DA0F7F" w:rsidRPr="004742C4" w:rsidRDefault="00DA0F7F" w:rsidP="00731D11">
            <w:pPr>
              <w:pStyle w:val="a6"/>
              <w:rPr>
                <w:rFonts w:ascii="Times New Roman" w:hAnsi="Times New Roman" w:cs="Times New Roman"/>
                <w:sz w:val="24"/>
                <w:szCs w:val="24"/>
              </w:rPr>
            </w:pPr>
            <w:r w:rsidRPr="004742C4">
              <w:rPr>
                <w:rFonts w:ascii="Times New Roman" w:hAnsi="Times New Roman" w:cs="Times New Roman"/>
                <w:sz w:val="24"/>
                <w:szCs w:val="24"/>
              </w:rPr>
              <w:t>00063-А</w:t>
            </w:r>
          </w:p>
        </w:tc>
      </w:tr>
      <w:tr w:rsidR="00DA0F7F" w:rsidRPr="004742C4" w:rsidTr="00AC1FEB">
        <w:tc>
          <w:tcPr>
            <w:tcW w:w="4933" w:type="dxa"/>
          </w:tcPr>
          <w:p w:rsidR="00DA0F7F" w:rsidRPr="004742C4" w:rsidRDefault="00DA0F7F" w:rsidP="00E35264">
            <w:pPr>
              <w:pStyle w:val="a6"/>
              <w:rPr>
                <w:rFonts w:ascii="Times New Roman" w:hAnsi="Times New Roman" w:cs="Times New Roman"/>
                <w:sz w:val="24"/>
                <w:szCs w:val="24"/>
                <w:lang w:val="en-US"/>
              </w:rPr>
            </w:pPr>
            <w:r w:rsidRPr="004742C4">
              <w:rPr>
                <w:rFonts w:ascii="Times New Roman" w:hAnsi="Times New Roman" w:cs="Times New Roman"/>
                <w:sz w:val="24"/>
                <w:szCs w:val="24"/>
                <w:lang w:val="en-US"/>
              </w:rPr>
              <w:t xml:space="preserve">1.7. Website </w:t>
            </w:r>
            <w:r w:rsidR="00E35264" w:rsidRPr="004742C4">
              <w:rPr>
                <w:rFonts w:ascii="Times New Roman" w:hAnsi="Times New Roman" w:cs="Times New Roman"/>
                <w:sz w:val="24"/>
                <w:szCs w:val="24"/>
                <w:lang w:val="en-US"/>
              </w:rPr>
              <w:t xml:space="preserve">used by the issuer for disclosure of </w:t>
            </w:r>
            <w:r w:rsidRPr="004742C4">
              <w:rPr>
                <w:rFonts w:ascii="Times New Roman" w:hAnsi="Times New Roman" w:cs="Times New Roman"/>
                <w:sz w:val="24"/>
                <w:szCs w:val="24"/>
                <w:lang w:val="en-US"/>
              </w:rPr>
              <w:t xml:space="preserve">information </w:t>
            </w:r>
          </w:p>
        </w:tc>
        <w:tc>
          <w:tcPr>
            <w:tcW w:w="5557" w:type="dxa"/>
          </w:tcPr>
          <w:p w:rsidR="00DA0F7F" w:rsidRPr="004742C4" w:rsidRDefault="004742C4" w:rsidP="00E35264">
            <w:pPr>
              <w:rPr>
                <w:sz w:val="24"/>
                <w:szCs w:val="24"/>
                <w:lang w:val="en-US"/>
              </w:rPr>
            </w:pPr>
            <w:hyperlink r:id="rId5" w:history="1">
              <w:r w:rsidR="00DA0F7F" w:rsidRPr="004742C4">
                <w:rPr>
                  <w:rStyle w:val="a3"/>
                  <w:sz w:val="24"/>
                  <w:szCs w:val="24"/>
                  <w:lang w:val="en-US"/>
                </w:rPr>
                <w:t>http://www.kubanenergo.ru</w:t>
              </w:r>
            </w:hyperlink>
            <w:r w:rsidR="00DA0F7F" w:rsidRPr="004742C4">
              <w:rPr>
                <w:sz w:val="24"/>
                <w:szCs w:val="24"/>
                <w:lang w:val="en-US"/>
              </w:rPr>
              <w:t xml:space="preserve"> </w:t>
            </w:r>
          </w:p>
          <w:p w:rsidR="00DA0F7F" w:rsidRPr="004742C4" w:rsidRDefault="004742C4" w:rsidP="00731D11">
            <w:pPr>
              <w:pStyle w:val="a6"/>
              <w:rPr>
                <w:rFonts w:ascii="Times New Roman" w:hAnsi="Times New Roman" w:cs="Times New Roman"/>
                <w:color w:val="0000FF"/>
                <w:sz w:val="24"/>
                <w:szCs w:val="24"/>
                <w:u w:val="single"/>
                <w:lang w:val="en-US" w:eastAsia="ru-RU"/>
              </w:rPr>
            </w:pPr>
            <w:hyperlink r:id="rId6" w:history="1">
              <w:r w:rsidR="00DA0F7F" w:rsidRPr="004742C4">
                <w:rPr>
                  <w:rStyle w:val="a3"/>
                  <w:rFonts w:ascii="Times New Roman" w:hAnsi="Times New Roman"/>
                  <w:sz w:val="24"/>
                  <w:szCs w:val="24"/>
                  <w:lang w:val="en-US" w:eastAsia="ru-RU"/>
                </w:rPr>
                <w:t>http://www.e-disclosure.ru/portal/company.aspx?id=2827</w:t>
              </w:r>
            </w:hyperlink>
          </w:p>
        </w:tc>
      </w:tr>
      <w:tr w:rsidR="004742C4" w:rsidRPr="004742C4" w:rsidTr="00AC1FEB">
        <w:tc>
          <w:tcPr>
            <w:tcW w:w="4933" w:type="dxa"/>
          </w:tcPr>
          <w:p w:rsidR="004742C4" w:rsidRPr="004742C4" w:rsidRDefault="004742C4" w:rsidP="004742C4">
            <w:pPr>
              <w:pStyle w:val="a6"/>
              <w:spacing w:line="254" w:lineRule="auto"/>
              <w:rPr>
                <w:rFonts w:ascii="Times New Roman" w:hAnsi="Times New Roman" w:cs="Times New Roman"/>
                <w:sz w:val="24"/>
                <w:szCs w:val="24"/>
                <w:lang w:val="en-US"/>
              </w:rPr>
            </w:pPr>
            <w:r w:rsidRPr="004742C4">
              <w:rPr>
                <w:rFonts w:ascii="Times New Roman" w:hAnsi="Times New Roman" w:cs="Times New Roman"/>
                <w:sz w:val="24"/>
                <w:szCs w:val="24"/>
                <w:lang w:val="en-US"/>
              </w:rPr>
              <w:t>1.8. Date of the event (material fact) that is disclosed in the statement (if applicable)</w:t>
            </w:r>
          </w:p>
        </w:tc>
        <w:tc>
          <w:tcPr>
            <w:tcW w:w="5557" w:type="dxa"/>
          </w:tcPr>
          <w:p w:rsidR="004742C4" w:rsidRPr="004742C4" w:rsidRDefault="004742C4" w:rsidP="004742C4">
            <w:pPr>
              <w:rPr>
                <w:sz w:val="24"/>
                <w:szCs w:val="24"/>
                <w:lang w:val="en-US"/>
              </w:rPr>
            </w:pPr>
            <w:r w:rsidRPr="004742C4">
              <w:rPr>
                <w:sz w:val="24"/>
                <w:szCs w:val="24"/>
              </w:rPr>
              <w:t>13</w:t>
            </w:r>
            <w:r w:rsidRPr="004742C4">
              <w:rPr>
                <w:sz w:val="24"/>
                <w:szCs w:val="24"/>
                <w:lang w:val="en-US"/>
              </w:rPr>
              <w:t>.09.2019</w:t>
            </w:r>
          </w:p>
        </w:tc>
      </w:tr>
    </w:tbl>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91"/>
        <w:gridCol w:w="1976"/>
        <w:gridCol w:w="3123"/>
      </w:tblGrid>
      <w:tr w:rsidR="00DA0F7F" w:rsidRPr="004742C4" w:rsidTr="004742C4">
        <w:tc>
          <w:tcPr>
            <w:tcW w:w="10490" w:type="dxa"/>
            <w:gridSpan w:val="3"/>
          </w:tcPr>
          <w:p w:rsidR="00DA0F7F" w:rsidRPr="004742C4" w:rsidRDefault="00DA0F7F" w:rsidP="00731D11">
            <w:pPr>
              <w:jc w:val="center"/>
              <w:rPr>
                <w:sz w:val="24"/>
                <w:szCs w:val="24"/>
              </w:rPr>
            </w:pPr>
            <w:r w:rsidRPr="004742C4">
              <w:rPr>
                <w:sz w:val="24"/>
                <w:szCs w:val="24"/>
              </w:rPr>
              <w:t xml:space="preserve">2. </w:t>
            </w:r>
            <w:r w:rsidRPr="004742C4">
              <w:rPr>
                <w:sz w:val="24"/>
                <w:szCs w:val="24"/>
                <w:lang w:val="en-US"/>
              </w:rPr>
              <w:t>Statement content</w:t>
            </w:r>
          </w:p>
        </w:tc>
      </w:tr>
      <w:tr w:rsidR="00DA0F7F" w:rsidRPr="004742C4" w:rsidTr="004742C4">
        <w:trPr>
          <w:trHeight w:val="1971"/>
        </w:trPr>
        <w:tc>
          <w:tcPr>
            <w:tcW w:w="10490" w:type="dxa"/>
            <w:gridSpan w:val="3"/>
          </w:tcPr>
          <w:p w:rsidR="00D70CF1" w:rsidRPr="004742C4" w:rsidRDefault="00E35264" w:rsidP="00E35264">
            <w:pPr>
              <w:ind w:right="114"/>
              <w:jc w:val="both"/>
              <w:rPr>
                <w:sz w:val="24"/>
                <w:szCs w:val="24"/>
                <w:lang w:val="en-US"/>
              </w:rPr>
            </w:pPr>
            <w:r w:rsidRPr="004742C4">
              <w:rPr>
                <w:sz w:val="24"/>
                <w:szCs w:val="24"/>
                <w:lang w:val="en-US"/>
              </w:rPr>
              <w:t xml:space="preserve">2.1. </w:t>
            </w:r>
            <w:r w:rsidR="00D70CF1" w:rsidRPr="004742C4">
              <w:rPr>
                <w:sz w:val="24"/>
                <w:szCs w:val="24"/>
                <w:lang w:val="en-US"/>
              </w:rPr>
              <w:t>Information on the placed securities</w:t>
            </w:r>
          </w:p>
          <w:p w:rsidR="004742C4" w:rsidRPr="004742C4" w:rsidRDefault="00D70CF1" w:rsidP="00E35264">
            <w:pPr>
              <w:ind w:right="114"/>
              <w:jc w:val="both"/>
              <w:rPr>
                <w:sz w:val="24"/>
                <w:szCs w:val="24"/>
                <w:lang w:val="en-US"/>
              </w:rPr>
            </w:pPr>
            <w:r w:rsidRPr="004742C4">
              <w:rPr>
                <w:sz w:val="24"/>
                <w:szCs w:val="24"/>
                <w:lang w:val="en-US"/>
              </w:rPr>
              <w:t>2.1.</w:t>
            </w:r>
            <w:r w:rsidR="009C3F8C" w:rsidRPr="004742C4">
              <w:rPr>
                <w:sz w:val="24"/>
                <w:szCs w:val="24"/>
                <w:lang w:val="en-US"/>
              </w:rPr>
              <w:t>1. Type</w:t>
            </w:r>
            <w:r w:rsidR="00DA0F7F" w:rsidRPr="004742C4">
              <w:rPr>
                <w:sz w:val="24"/>
                <w:szCs w:val="24"/>
                <w:lang w:val="en-US"/>
              </w:rPr>
              <w:t>, category</w:t>
            </w:r>
            <w:r w:rsidRPr="004742C4">
              <w:rPr>
                <w:sz w:val="24"/>
                <w:szCs w:val="24"/>
                <w:lang w:val="en-US"/>
              </w:rPr>
              <w:t xml:space="preserve"> (kind)</w:t>
            </w:r>
            <w:r w:rsidR="00DA0F7F" w:rsidRPr="004742C4">
              <w:rPr>
                <w:sz w:val="24"/>
                <w:szCs w:val="24"/>
                <w:lang w:val="en-US"/>
              </w:rPr>
              <w:t xml:space="preserve">, series and other identification characteristics of securities: </w:t>
            </w:r>
          </w:p>
          <w:p w:rsidR="004742C4" w:rsidRPr="004742C4" w:rsidRDefault="00D70CF1" w:rsidP="00E35264">
            <w:pPr>
              <w:ind w:right="114"/>
              <w:jc w:val="both"/>
              <w:rPr>
                <w:b/>
                <w:sz w:val="24"/>
                <w:szCs w:val="24"/>
                <w:lang w:val="en-US"/>
              </w:rPr>
            </w:pPr>
            <w:r w:rsidRPr="004742C4">
              <w:rPr>
                <w:b/>
                <w:sz w:val="24"/>
                <w:szCs w:val="24"/>
                <w:lang w:val="en-US"/>
              </w:rPr>
              <w:t>uncertifi</w:t>
            </w:r>
            <w:r w:rsidR="00E35264" w:rsidRPr="004742C4">
              <w:rPr>
                <w:b/>
                <w:sz w:val="24"/>
                <w:szCs w:val="24"/>
                <w:lang w:val="en-US"/>
              </w:rPr>
              <w:t>ed registered ordinary share</w:t>
            </w:r>
            <w:r w:rsidR="009C3F8C" w:rsidRPr="004742C4">
              <w:rPr>
                <w:b/>
                <w:sz w:val="24"/>
                <w:szCs w:val="24"/>
                <w:lang w:val="en-US"/>
              </w:rPr>
              <w:t>s</w:t>
            </w:r>
            <w:r w:rsidR="00E35264" w:rsidRPr="004742C4">
              <w:rPr>
                <w:sz w:val="24"/>
                <w:szCs w:val="24"/>
                <w:lang w:val="en-US"/>
              </w:rPr>
              <w:t xml:space="preserve"> </w:t>
            </w:r>
          </w:p>
          <w:p w:rsidR="004742C4" w:rsidRPr="004742C4" w:rsidRDefault="00E35264" w:rsidP="00E35264">
            <w:pPr>
              <w:ind w:right="114"/>
              <w:jc w:val="both"/>
              <w:rPr>
                <w:b/>
                <w:sz w:val="24"/>
                <w:szCs w:val="24"/>
                <w:lang w:val="en-US"/>
              </w:rPr>
            </w:pPr>
            <w:r w:rsidRPr="004742C4">
              <w:rPr>
                <w:b/>
                <w:sz w:val="24"/>
                <w:szCs w:val="24"/>
                <w:lang w:val="en-US"/>
              </w:rPr>
              <w:t>state registration number of the additional issue of securities</w:t>
            </w:r>
            <w:r w:rsidR="004742C4" w:rsidRPr="004742C4">
              <w:rPr>
                <w:b/>
                <w:sz w:val="24"/>
                <w:szCs w:val="24"/>
                <w:lang w:val="en-US"/>
              </w:rPr>
              <w:t xml:space="preserve">: </w:t>
            </w:r>
            <w:r w:rsidR="004742C4" w:rsidRPr="004742C4">
              <w:rPr>
                <w:b/>
                <w:sz w:val="24"/>
                <w:szCs w:val="24"/>
                <w:lang w:val="en-US"/>
              </w:rPr>
              <w:t>1-02-00063-A</w:t>
            </w:r>
            <w:r w:rsidRPr="004742C4">
              <w:rPr>
                <w:b/>
                <w:sz w:val="24"/>
                <w:szCs w:val="24"/>
                <w:lang w:val="en-US"/>
              </w:rPr>
              <w:t xml:space="preserve"> </w:t>
            </w:r>
          </w:p>
          <w:p w:rsidR="004742C4" w:rsidRPr="004742C4" w:rsidRDefault="00E35264" w:rsidP="00E35264">
            <w:pPr>
              <w:ind w:right="114"/>
              <w:jc w:val="both"/>
              <w:rPr>
                <w:b/>
                <w:sz w:val="24"/>
                <w:szCs w:val="24"/>
                <w:lang w:val="en-US"/>
              </w:rPr>
            </w:pPr>
            <w:r w:rsidRPr="004742C4">
              <w:rPr>
                <w:b/>
                <w:sz w:val="24"/>
                <w:szCs w:val="24"/>
                <w:lang w:val="en-US"/>
              </w:rPr>
              <w:t>the date of its assigning:</w:t>
            </w:r>
            <w:r w:rsidR="004742C4" w:rsidRPr="004742C4">
              <w:rPr>
                <w:b/>
                <w:sz w:val="24"/>
                <w:szCs w:val="24"/>
                <w:lang w:val="en-US"/>
              </w:rPr>
              <w:t>18 July 2019</w:t>
            </w:r>
            <w:r w:rsidRPr="004742C4">
              <w:rPr>
                <w:b/>
                <w:sz w:val="24"/>
                <w:szCs w:val="24"/>
                <w:lang w:val="en-US"/>
              </w:rPr>
              <w:t xml:space="preserve"> </w:t>
            </w:r>
          </w:p>
          <w:p w:rsidR="00DA0F7F" w:rsidRPr="004742C4" w:rsidRDefault="00E35264" w:rsidP="00E35264">
            <w:pPr>
              <w:ind w:right="114"/>
              <w:jc w:val="both"/>
              <w:rPr>
                <w:b/>
                <w:bCs/>
                <w:iCs/>
                <w:sz w:val="24"/>
                <w:szCs w:val="24"/>
                <w:lang w:val="en-US"/>
              </w:rPr>
            </w:pPr>
            <w:r w:rsidRPr="004742C4">
              <w:rPr>
                <w:b/>
                <w:sz w:val="24"/>
                <w:szCs w:val="24"/>
                <w:lang w:val="en-US"/>
              </w:rPr>
              <w:t>International Securities Identification Number (ISIN):</w:t>
            </w:r>
            <w:r w:rsidR="004742C4" w:rsidRPr="004742C4">
              <w:rPr>
                <w:b/>
                <w:sz w:val="24"/>
                <w:szCs w:val="24"/>
                <w:lang w:val="en-US"/>
              </w:rPr>
              <w:t xml:space="preserve"> </w:t>
            </w:r>
            <w:r w:rsidR="004742C4" w:rsidRPr="004742C4">
              <w:rPr>
                <w:rStyle w:val="SUBST"/>
                <w:bCs/>
                <w:i w:val="0"/>
                <w:iCs/>
                <w:sz w:val="24"/>
                <w:szCs w:val="24"/>
                <w:lang w:val="en-US"/>
              </w:rPr>
              <w:t>RU0009046767</w:t>
            </w:r>
          </w:p>
          <w:p w:rsidR="00E35264" w:rsidRPr="004742C4" w:rsidRDefault="00E35264" w:rsidP="00D70CF1">
            <w:pPr>
              <w:ind w:right="114"/>
              <w:jc w:val="both"/>
              <w:rPr>
                <w:b/>
                <w:sz w:val="24"/>
                <w:szCs w:val="24"/>
                <w:lang w:val="en-US"/>
              </w:rPr>
            </w:pPr>
            <w:r w:rsidRPr="004742C4">
              <w:rPr>
                <w:sz w:val="24"/>
                <w:szCs w:val="24"/>
                <w:lang w:val="en-US"/>
              </w:rPr>
              <w:t>2.</w:t>
            </w:r>
            <w:r w:rsidR="00D70CF1" w:rsidRPr="004742C4">
              <w:rPr>
                <w:sz w:val="24"/>
                <w:szCs w:val="24"/>
                <w:lang w:val="en-US"/>
              </w:rPr>
              <w:t>1.</w:t>
            </w:r>
            <w:r w:rsidRPr="004742C4">
              <w:rPr>
                <w:sz w:val="24"/>
                <w:szCs w:val="24"/>
                <w:lang w:val="en-US"/>
              </w:rPr>
              <w:t xml:space="preserve">2. State registration number of the issue (additional issue) of securities and the date of its assigning: </w:t>
            </w:r>
            <w:r w:rsidRPr="004742C4">
              <w:rPr>
                <w:b/>
                <w:sz w:val="24"/>
                <w:szCs w:val="24"/>
                <w:lang w:val="en-US"/>
              </w:rPr>
              <w:t xml:space="preserve">1-02-00063-A), </w:t>
            </w:r>
            <w:r w:rsidR="004742C4" w:rsidRPr="004742C4">
              <w:rPr>
                <w:b/>
                <w:sz w:val="24"/>
                <w:szCs w:val="24"/>
                <w:lang w:val="en-US"/>
              </w:rPr>
              <w:t>18.07.2019</w:t>
            </w:r>
          </w:p>
          <w:p w:rsidR="00E35264" w:rsidRPr="004742C4" w:rsidRDefault="00E35264" w:rsidP="00E35264">
            <w:pPr>
              <w:shd w:val="clear" w:color="auto" w:fill="FFFFFF"/>
              <w:spacing w:line="210" w:lineRule="atLeast"/>
              <w:jc w:val="both"/>
              <w:rPr>
                <w:b/>
                <w:sz w:val="24"/>
                <w:szCs w:val="24"/>
                <w:lang w:val="en-US"/>
              </w:rPr>
            </w:pPr>
            <w:r w:rsidRPr="004742C4">
              <w:rPr>
                <w:sz w:val="24"/>
                <w:szCs w:val="24"/>
                <w:lang w:val="en-US"/>
              </w:rPr>
              <w:t>2.</w:t>
            </w:r>
            <w:r w:rsidR="00D70CF1" w:rsidRPr="004742C4">
              <w:rPr>
                <w:sz w:val="24"/>
                <w:szCs w:val="24"/>
                <w:lang w:val="en-US"/>
              </w:rPr>
              <w:t>1.3.</w:t>
            </w:r>
            <w:r w:rsidRPr="004742C4">
              <w:rPr>
                <w:sz w:val="24"/>
                <w:szCs w:val="24"/>
                <w:lang w:val="en-US"/>
              </w:rPr>
              <w:t xml:space="preserve"> </w:t>
            </w:r>
            <w:r w:rsidR="00D70CF1" w:rsidRPr="004742C4">
              <w:rPr>
                <w:sz w:val="24"/>
                <w:szCs w:val="24"/>
                <w:lang w:val="en-US"/>
              </w:rPr>
              <w:t>R</w:t>
            </w:r>
            <w:r w:rsidRPr="004742C4">
              <w:rPr>
                <w:sz w:val="24"/>
                <w:szCs w:val="24"/>
                <w:lang w:val="en-US"/>
              </w:rPr>
              <w:t xml:space="preserve">egistering body that conducted the state registration of the issue (additional issue) of securities: </w:t>
            </w:r>
            <w:r w:rsidRPr="004742C4">
              <w:rPr>
                <w:b/>
                <w:sz w:val="24"/>
                <w:szCs w:val="24"/>
                <w:lang w:val="en-US"/>
              </w:rPr>
              <w:t xml:space="preserve">Bank of Russia </w:t>
            </w:r>
          </w:p>
          <w:p w:rsidR="00E35264" w:rsidRPr="004742C4" w:rsidRDefault="00E35264" w:rsidP="00E35264">
            <w:pPr>
              <w:shd w:val="clear" w:color="auto" w:fill="FFFFFF"/>
              <w:spacing w:line="210" w:lineRule="atLeast"/>
              <w:jc w:val="both"/>
              <w:rPr>
                <w:sz w:val="24"/>
                <w:szCs w:val="24"/>
                <w:lang w:val="en-US"/>
              </w:rPr>
            </w:pPr>
            <w:r w:rsidRPr="004742C4">
              <w:rPr>
                <w:sz w:val="24"/>
                <w:szCs w:val="24"/>
                <w:lang w:val="en-US"/>
              </w:rPr>
              <w:t>2.</w:t>
            </w:r>
            <w:r w:rsidR="00D70CF1" w:rsidRPr="004742C4">
              <w:rPr>
                <w:sz w:val="24"/>
                <w:szCs w:val="24"/>
                <w:lang w:val="en-US"/>
              </w:rPr>
              <w:t xml:space="preserve">1.4. </w:t>
            </w:r>
            <w:r w:rsidRPr="004742C4">
              <w:rPr>
                <w:sz w:val="24"/>
                <w:szCs w:val="24"/>
                <w:lang w:val="en-US"/>
              </w:rPr>
              <w:t xml:space="preserve">Number of </w:t>
            </w:r>
            <w:r w:rsidR="00D70CF1" w:rsidRPr="004742C4">
              <w:rPr>
                <w:sz w:val="24"/>
                <w:szCs w:val="24"/>
                <w:lang w:val="en-US"/>
              </w:rPr>
              <w:t xml:space="preserve">the </w:t>
            </w:r>
            <w:r w:rsidRPr="004742C4">
              <w:rPr>
                <w:sz w:val="24"/>
                <w:szCs w:val="24"/>
                <w:lang w:val="en-US"/>
              </w:rPr>
              <w:t xml:space="preserve">placed securities and their nominal value of each security: </w:t>
            </w:r>
            <w:r w:rsidR="004742C4" w:rsidRPr="004742C4">
              <w:rPr>
                <w:b/>
                <w:sz w:val="24"/>
                <w:szCs w:val="24"/>
                <w:lang w:val="en-US"/>
              </w:rPr>
              <w:t>37 477 392 (thirty-seven million four hundred seventy-seven thousand three hundred ninety-two) pieces with a nominal value of 100 (One hundred) rubles each.</w:t>
            </w:r>
          </w:p>
          <w:p w:rsidR="00E35264" w:rsidRPr="004742C4" w:rsidRDefault="00E35264" w:rsidP="00E35264">
            <w:pPr>
              <w:shd w:val="clear" w:color="auto" w:fill="FFFFFF"/>
              <w:spacing w:line="210" w:lineRule="atLeast"/>
              <w:jc w:val="both"/>
              <w:rPr>
                <w:b/>
                <w:sz w:val="24"/>
                <w:szCs w:val="24"/>
                <w:lang w:val="en-US"/>
              </w:rPr>
            </w:pPr>
            <w:r w:rsidRPr="004742C4">
              <w:rPr>
                <w:sz w:val="24"/>
                <w:szCs w:val="24"/>
                <w:lang w:val="en-US"/>
              </w:rPr>
              <w:t>2.</w:t>
            </w:r>
            <w:r w:rsidR="00D70CF1" w:rsidRPr="004742C4">
              <w:rPr>
                <w:sz w:val="24"/>
                <w:szCs w:val="24"/>
                <w:lang w:val="en-US"/>
              </w:rPr>
              <w:t>1.5.</w:t>
            </w:r>
            <w:r w:rsidRPr="004742C4">
              <w:rPr>
                <w:sz w:val="24"/>
                <w:szCs w:val="24"/>
                <w:lang w:val="en-US"/>
              </w:rPr>
              <w:t xml:space="preserve"> Me</w:t>
            </w:r>
            <w:r w:rsidR="00D70CF1" w:rsidRPr="004742C4">
              <w:rPr>
                <w:sz w:val="24"/>
                <w:szCs w:val="24"/>
                <w:lang w:val="en-US"/>
              </w:rPr>
              <w:t>thod of placement of securities</w:t>
            </w:r>
            <w:r w:rsidRPr="004742C4">
              <w:rPr>
                <w:sz w:val="24"/>
                <w:szCs w:val="24"/>
                <w:lang w:val="en-US"/>
              </w:rPr>
              <w:t xml:space="preserve">: </w:t>
            </w:r>
            <w:r w:rsidRPr="004742C4">
              <w:rPr>
                <w:b/>
                <w:sz w:val="24"/>
                <w:szCs w:val="24"/>
                <w:lang w:val="en-US"/>
              </w:rPr>
              <w:t>public offering</w:t>
            </w:r>
          </w:p>
          <w:p w:rsidR="00DA0F7F" w:rsidRPr="004742C4" w:rsidRDefault="00E35264" w:rsidP="009011F6">
            <w:pPr>
              <w:shd w:val="clear" w:color="auto" w:fill="FFFFFF"/>
              <w:spacing w:line="210" w:lineRule="atLeast"/>
              <w:jc w:val="both"/>
              <w:rPr>
                <w:b/>
                <w:bCs/>
                <w:iCs/>
                <w:sz w:val="24"/>
                <w:szCs w:val="24"/>
                <w:lang w:val="en-US"/>
              </w:rPr>
            </w:pPr>
            <w:r w:rsidRPr="004742C4">
              <w:rPr>
                <w:sz w:val="24"/>
                <w:szCs w:val="24"/>
                <w:lang w:val="en-US"/>
              </w:rPr>
              <w:t>2.</w:t>
            </w:r>
            <w:r w:rsidR="009C3F8C" w:rsidRPr="004742C4">
              <w:rPr>
                <w:sz w:val="24"/>
                <w:szCs w:val="24"/>
                <w:lang w:val="en-US"/>
              </w:rPr>
              <w:t>1.6.</w:t>
            </w:r>
            <w:r w:rsidRPr="004742C4">
              <w:rPr>
                <w:sz w:val="24"/>
                <w:szCs w:val="24"/>
                <w:lang w:val="en-US"/>
              </w:rPr>
              <w:t xml:space="preserve"> </w:t>
            </w:r>
            <w:r w:rsidR="00DA0F7F" w:rsidRPr="004742C4">
              <w:rPr>
                <w:sz w:val="24"/>
                <w:szCs w:val="24"/>
                <w:lang w:val="en-US"/>
              </w:rPr>
              <w:t>Price of placing the shares</w:t>
            </w:r>
            <w:r w:rsidR="009C3F8C" w:rsidRPr="004742C4">
              <w:rPr>
                <w:sz w:val="24"/>
                <w:szCs w:val="24"/>
                <w:lang w:val="en-US"/>
              </w:rPr>
              <w:t xml:space="preserve"> including for the persons having the preemptive right to purchase shares</w:t>
            </w:r>
            <w:r w:rsidR="009011F6" w:rsidRPr="004742C4">
              <w:rPr>
                <w:sz w:val="24"/>
                <w:szCs w:val="24"/>
                <w:lang w:val="en-US"/>
              </w:rPr>
              <w:t xml:space="preserve">: </w:t>
            </w:r>
            <w:r w:rsidR="009011F6" w:rsidRPr="004742C4">
              <w:rPr>
                <w:b/>
                <w:bCs/>
                <w:iCs/>
                <w:sz w:val="24"/>
                <w:szCs w:val="24"/>
                <w:lang w:val="en-US"/>
              </w:rPr>
              <w:t>100</w:t>
            </w:r>
            <w:r w:rsidR="00DA0F7F" w:rsidRPr="004742C4">
              <w:rPr>
                <w:b/>
                <w:bCs/>
                <w:iCs/>
                <w:sz w:val="24"/>
                <w:szCs w:val="24"/>
                <w:lang w:val="en-US"/>
              </w:rPr>
              <w:t xml:space="preserve"> (one hundred) rubles</w:t>
            </w:r>
            <w:r w:rsidR="009C3F8C" w:rsidRPr="004742C4">
              <w:rPr>
                <w:b/>
                <w:bCs/>
                <w:iCs/>
                <w:sz w:val="24"/>
                <w:szCs w:val="24"/>
                <w:lang w:val="en-US"/>
              </w:rPr>
              <w:t xml:space="preserve"> per </w:t>
            </w:r>
            <w:r w:rsidR="009C3F8C" w:rsidRPr="004742C4">
              <w:rPr>
                <w:b/>
                <w:sz w:val="24"/>
                <w:szCs w:val="24"/>
                <w:lang w:val="en-US"/>
              </w:rPr>
              <w:t>uncertified registered ordinary share</w:t>
            </w:r>
            <w:r w:rsidR="009011F6" w:rsidRPr="004742C4">
              <w:rPr>
                <w:b/>
                <w:bCs/>
                <w:iCs/>
                <w:sz w:val="24"/>
                <w:szCs w:val="24"/>
                <w:lang w:val="en-US"/>
              </w:rPr>
              <w:t>.</w:t>
            </w:r>
          </w:p>
          <w:p w:rsidR="004742C4" w:rsidRPr="004742C4" w:rsidRDefault="009011F6" w:rsidP="004742C4">
            <w:pPr>
              <w:shd w:val="clear" w:color="auto" w:fill="FFFFFF"/>
              <w:spacing w:line="210" w:lineRule="atLeast"/>
              <w:jc w:val="both"/>
              <w:rPr>
                <w:b/>
                <w:sz w:val="24"/>
                <w:szCs w:val="24"/>
                <w:lang w:val="en-US"/>
              </w:rPr>
            </w:pPr>
            <w:r w:rsidRPr="004742C4">
              <w:rPr>
                <w:bCs/>
                <w:iCs/>
                <w:sz w:val="24"/>
                <w:szCs w:val="24"/>
                <w:lang w:val="en-US"/>
              </w:rPr>
              <w:t>2.</w:t>
            </w:r>
            <w:r w:rsidR="009C3F8C" w:rsidRPr="004742C4">
              <w:rPr>
                <w:bCs/>
                <w:iCs/>
                <w:sz w:val="24"/>
                <w:szCs w:val="24"/>
                <w:lang w:val="en-US"/>
              </w:rPr>
              <w:t>1.7</w:t>
            </w:r>
            <w:r w:rsidRPr="004742C4">
              <w:rPr>
                <w:bCs/>
                <w:iCs/>
                <w:sz w:val="24"/>
                <w:szCs w:val="24"/>
                <w:lang w:val="en-US"/>
              </w:rPr>
              <w:t xml:space="preserve">. </w:t>
            </w:r>
            <w:r w:rsidR="00DA0F7F" w:rsidRPr="004742C4">
              <w:rPr>
                <w:sz w:val="24"/>
                <w:szCs w:val="24"/>
                <w:lang w:val="en-US"/>
              </w:rPr>
              <w:t xml:space="preserve">Provision to participants (shareholders) of the issuer and (or) other persons the preemptive right on purchase of shares: </w:t>
            </w:r>
            <w:r w:rsidR="004742C4" w:rsidRPr="004742C4">
              <w:rPr>
                <w:b/>
                <w:sz w:val="24"/>
                <w:szCs w:val="24"/>
                <w:lang w:val="en-US"/>
              </w:rPr>
              <w:t>The issuer</w:t>
            </w:r>
            <w:r w:rsidR="004742C4" w:rsidRPr="004742C4">
              <w:rPr>
                <w:b/>
                <w:sz w:val="24"/>
                <w:szCs w:val="24"/>
                <w:lang w:val="en-US"/>
              </w:rPr>
              <w:t>’</w:t>
            </w:r>
            <w:r w:rsidR="004742C4" w:rsidRPr="004742C4">
              <w:rPr>
                <w:b/>
                <w:sz w:val="24"/>
                <w:szCs w:val="24"/>
                <w:lang w:val="en-US"/>
              </w:rPr>
              <w:t>s shareholders in accordance with Art</w:t>
            </w:r>
            <w:r w:rsidR="004742C4" w:rsidRPr="004742C4">
              <w:rPr>
                <w:b/>
                <w:sz w:val="24"/>
                <w:szCs w:val="24"/>
                <w:lang w:val="en-US"/>
              </w:rPr>
              <w:t>icle</w:t>
            </w:r>
            <w:r w:rsidR="004742C4" w:rsidRPr="004742C4">
              <w:rPr>
                <w:b/>
                <w:sz w:val="24"/>
                <w:szCs w:val="24"/>
                <w:lang w:val="en-US"/>
              </w:rPr>
              <w:t xml:space="preserve"> 40 of the Federal Law “On Joint-Stock Companies” had the preemptive right to purchase ordinary shares placed through open subscription in an amount proportional to the number of the issuer</w:t>
            </w:r>
            <w:r w:rsidR="004742C4" w:rsidRPr="004742C4">
              <w:rPr>
                <w:b/>
                <w:sz w:val="24"/>
                <w:szCs w:val="24"/>
                <w:lang w:val="en-US"/>
              </w:rPr>
              <w:t>’</w:t>
            </w:r>
            <w:r w:rsidR="004742C4" w:rsidRPr="004742C4">
              <w:rPr>
                <w:b/>
                <w:sz w:val="24"/>
                <w:szCs w:val="24"/>
                <w:lang w:val="en-US"/>
              </w:rPr>
              <w:t>s ordinary shares they hold.</w:t>
            </w:r>
          </w:p>
          <w:p w:rsidR="009C3F8C" w:rsidRPr="004742C4" w:rsidRDefault="004742C4" w:rsidP="004742C4">
            <w:pPr>
              <w:shd w:val="clear" w:color="auto" w:fill="FFFFFF"/>
              <w:spacing w:line="210" w:lineRule="atLeast"/>
              <w:jc w:val="both"/>
              <w:rPr>
                <w:b/>
                <w:bCs/>
                <w:iCs/>
                <w:sz w:val="24"/>
                <w:szCs w:val="24"/>
                <w:lang w:val="en-US"/>
              </w:rPr>
            </w:pPr>
            <w:r w:rsidRPr="004742C4">
              <w:rPr>
                <w:b/>
                <w:sz w:val="24"/>
                <w:szCs w:val="24"/>
                <w:lang w:val="en-US"/>
              </w:rPr>
              <w:t xml:space="preserve">Date on which the persons having the preemptive right to purchase the placed securities were determined (fixed): </w:t>
            </w:r>
            <w:r w:rsidRPr="004742C4">
              <w:rPr>
                <w:b/>
                <w:sz w:val="24"/>
                <w:szCs w:val="24"/>
                <w:lang w:val="en-US"/>
              </w:rPr>
              <w:t>24.03.</w:t>
            </w:r>
            <w:r w:rsidRPr="004742C4">
              <w:rPr>
                <w:b/>
                <w:sz w:val="24"/>
                <w:szCs w:val="24"/>
                <w:lang w:val="en-US"/>
              </w:rPr>
              <w:t>2019</w:t>
            </w:r>
            <w:r w:rsidR="009C3F8C" w:rsidRPr="004742C4">
              <w:rPr>
                <w:b/>
                <w:bCs/>
                <w:iCs/>
                <w:sz w:val="24"/>
                <w:szCs w:val="24"/>
                <w:lang w:val="en-US"/>
              </w:rPr>
              <w:t>.</w:t>
            </w:r>
          </w:p>
          <w:p w:rsidR="00AC1FEB" w:rsidRPr="004742C4" w:rsidRDefault="00AC1FEB" w:rsidP="00AC1FEB">
            <w:pPr>
              <w:shd w:val="clear" w:color="auto" w:fill="FFFFFF"/>
              <w:spacing w:line="210" w:lineRule="atLeast"/>
              <w:jc w:val="both"/>
              <w:rPr>
                <w:sz w:val="24"/>
                <w:szCs w:val="24"/>
                <w:lang w:val="en-US"/>
              </w:rPr>
            </w:pPr>
            <w:r w:rsidRPr="004742C4">
              <w:rPr>
                <w:sz w:val="24"/>
                <w:szCs w:val="24"/>
                <w:lang w:val="en-US"/>
              </w:rPr>
              <w:t xml:space="preserve">2.2. Date when the Issuer’s fully performed its obligations to notify persons who have the preemptive right to purchase securities on the possibility of its implementation (the date of publication of the Notice on Preemptive Right on the website of the Company on the Internet): </w:t>
            </w:r>
            <w:r w:rsidR="004742C4" w:rsidRPr="004742C4">
              <w:rPr>
                <w:b/>
                <w:sz w:val="24"/>
                <w:szCs w:val="24"/>
                <w:lang w:val="en-US"/>
              </w:rPr>
              <w:t>26.07.2019</w:t>
            </w:r>
            <w:r w:rsidRPr="004742C4">
              <w:rPr>
                <w:b/>
                <w:sz w:val="24"/>
                <w:szCs w:val="24"/>
                <w:lang w:val="en-US"/>
              </w:rPr>
              <w:t>.</w:t>
            </w:r>
          </w:p>
          <w:p w:rsidR="00AC1FEB" w:rsidRPr="004742C4" w:rsidRDefault="00AC1FEB" w:rsidP="00AC1FEB">
            <w:pPr>
              <w:shd w:val="clear" w:color="auto" w:fill="FFFFFF"/>
              <w:spacing w:line="210" w:lineRule="atLeast"/>
              <w:jc w:val="both"/>
              <w:rPr>
                <w:sz w:val="24"/>
                <w:szCs w:val="24"/>
                <w:lang w:val="en-US"/>
              </w:rPr>
            </w:pPr>
            <w:r w:rsidRPr="004742C4">
              <w:rPr>
                <w:sz w:val="24"/>
                <w:szCs w:val="24"/>
                <w:lang w:val="en-US"/>
              </w:rPr>
              <w:t xml:space="preserve">2.3. The expiry date of the preemptive right to purchase securities: </w:t>
            </w:r>
            <w:r w:rsidR="004742C4" w:rsidRPr="004742C4">
              <w:rPr>
                <w:b/>
                <w:sz w:val="24"/>
                <w:szCs w:val="24"/>
                <w:lang w:val="en-US"/>
              </w:rPr>
              <w:t>09.09.2019</w:t>
            </w:r>
            <w:r w:rsidRPr="004742C4">
              <w:rPr>
                <w:b/>
                <w:sz w:val="24"/>
                <w:szCs w:val="24"/>
                <w:lang w:val="en-US"/>
              </w:rPr>
              <w:t>.</w:t>
            </w:r>
          </w:p>
          <w:p w:rsidR="00AC1FEB" w:rsidRPr="004742C4" w:rsidRDefault="00AC1FEB" w:rsidP="00AC1FEB">
            <w:pPr>
              <w:shd w:val="clear" w:color="auto" w:fill="FFFFFF"/>
              <w:spacing w:line="210" w:lineRule="atLeast"/>
              <w:jc w:val="both"/>
              <w:rPr>
                <w:b/>
                <w:sz w:val="24"/>
                <w:szCs w:val="24"/>
                <w:lang w:val="en-US"/>
              </w:rPr>
            </w:pPr>
            <w:r w:rsidRPr="004742C4">
              <w:rPr>
                <w:sz w:val="24"/>
                <w:szCs w:val="24"/>
                <w:lang w:val="en-US"/>
              </w:rPr>
              <w:t xml:space="preserve">2.4. The number of securities placed as a result of the exercise by the shareholders of their preemptive right to purchase securities: </w:t>
            </w:r>
            <w:r w:rsidR="004742C4" w:rsidRPr="004742C4">
              <w:rPr>
                <w:b/>
                <w:sz w:val="24"/>
                <w:szCs w:val="24"/>
                <w:lang w:val="en-US"/>
              </w:rPr>
              <w:t>0</w:t>
            </w:r>
            <w:r w:rsidRPr="004742C4">
              <w:rPr>
                <w:b/>
                <w:sz w:val="24"/>
                <w:szCs w:val="24"/>
                <w:lang w:val="en-US"/>
              </w:rPr>
              <w:t xml:space="preserve"> pieces</w:t>
            </w:r>
          </w:p>
          <w:p w:rsidR="00AC1FEB" w:rsidRPr="004742C4" w:rsidRDefault="00AC1FEB" w:rsidP="00AC1FEB">
            <w:pPr>
              <w:shd w:val="clear" w:color="auto" w:fill="FFFFFF"/>
              <w:spacing w:line="210" w:lineRule="atLeast"/>
              <w:jc w:val="both"/>
              <w:rPr>
                <w:b/>
                <w:sz w:val="24"/>
                <w:szCs w:val="24"/>
                <w:lang w:val="en-US"/>
              </w:rPr>
            </w:pPr>
            <w:r w:rsidRPr="004742C4">
              <w:rPr>
                <w:sz w:val="24"/>
                <w:szCs w:val="24"/>
                <w:lang w:val="en-US"/>
              </w:rPr>
              <w:t xml:space="preserve">2.5. The number of securities remaining for placement by public subscription after the shareholders exercised the preemptive right to purchase securities: </w:t>
            </w:r>
            <w:r w:rsidR="004742C4" w:rsidRPr="004742C4">
              <w:rPr>
                <w:b/>
                <w:sz w:val="24"/>
                <w:szCs w:val="24"/>
                <w:lang w:val="en-US"/>
              </w:rPr>
              <w:t>37 477 392 (</w:t>
            </w:r>
            <w:r w:rsidR="004742C4" w:rsidRPr="004742C4">
              <w:rPr>
                <w:b/>
                <w:sz w:val="24"/>
                <w:szCs w:val="24"/>
                <w:lang w:val="en-US"/>
              </w:rPr>
              <w:t>thirty-seven</w:t>
            </w:r>
            <w:r w:rsidR="004742C4" w:rsidRPr="004742C4">
              <w:rPr>
                <w:b/>
                <w:sz w:val="24"/>
                <w:szCs w:val="24"/>
                <w:lang w:val="en-US"/>
              </w:rPr>
              <w:t xml:space="preserve"> million four hundred </w:t>
            </w:r>
            <w:r w:rsidR="004742C4" w:rsidRPr="004742C4">
              <w:rPr>
                <w:b/>
                <w:sz w:val="24"/>
                <w:szCs w:val="24"/>
                <w:lang w:val="en-US"/>
              </w:rPr>
              <w:t>seventy-seven</w:t>
            </w:r>
            <w:r w:rsidR="004742C4" w:rsidRPr="004742C4">
              <w:rPr>
                <w:b/>
                <w:sz w:val="24"/>
                <w:szCs w:val="24"/>
                <w:lang w:val="en-US"/>
              </w:rPr>
              <w:t xml:space="preserve"> thousand three hundred </w:t>
            </w:r>
            <w:r w:rsidR="004742C4" w:rsidRPr="004742C4">
              <w:rPr>
                <w:b/>
                <w:sz w:val="24"/>
                <w:szCs w:val="24"/>
                <w:lang w:val="en-US"/>
              </w:rPr>
              <w:t>ninety-two</w:t>
            </w:r>
            <w:r w:rsidR="004742C4" w:rsidRPr="004742C4">
              <w:rPr>
                <w:b/>
                <w:sz w:val="24"/>
                <w:szCs w:val="24"/>
                <w:lang w:val="en-US"/>
              </w:rPr>
              <w:t xml:space="preserve">) </w:t>
            </w:r>
            <w:r w:rsidRPr="004742C4">
              <w:rPr>
                <w:b/>
                <w:sz w:val="24"/>
                <w:szCs w:val="24"/>
                <w:lang w:val="en-US"/>
              </w:rPr>
              <w:t>pieces.</w:t>
            </w:r>
          </w:p>
          <w:p w:rsidR="00CF29EC" w:rsidRPr="004742C4" w:rsidRDefault="00AC1FEB" w:rsidP="004742C4">
            <w:pPr>
              <w:shd w:val="clear" w:color="auto" w:fill="FFFFFF"/>
              <w:spacing w:line="210" w:lineRule="atLeast"/>
              <w:jc w:val="both"/>
              <w:rPr>
                <w:sz w:val="24"/>
                <w:szCs w:val="24"/>
                <w:lang w:val="en-US"/>
              </w:rPr>
            </w:pPr>
            <w:r w:rsidRPr="004742C4">
              <w:rPr>
                <w:sz w:val="24"/>
                <w:szCs w:val="24"/>
                <w:lang w:val="en-US"/>
              </w:rPr>
              <w:t xml:space="preserve">2.6. Date of summarizing the results of the exercise of the preemptive right to purchase securities: </w:t>
            </w:r>
            <w:r w:rsidR="004742C4" w:rsidRPr="004742C4">
              <w:rPr>
                <w:b/>
                <w:sz w:val="24"/>
                <w:szCs w:val="24"/>
                <w:lang w:val="en-US"/>
              </w:rPr>
              <w:t>13 September 2019</w:t>
            </w:r>
          </w:p>
        </w:tc>
      </w:tr>
      <w:tr w:rsidR="004742C4" w:rsidRPr="004742C4" w:rsidTr="004742C4">
        <w:tblPrEx>
          <w:tblCellMar>
            <w:left w:w="108" w:type="dxa"/>
            <w:right w:w="108" w:type="dxa"/>
          </w:tblCellMar>
          <w:tblLook w:val="04A0" w:firstRow="1" w:lastRow="0" w:firstColumn="1" w:lastColumn="0" w:noHBand="0" w:noVBand="1"/>
        </w:tblPrEx>
        <w:trPr>
          <w:cantSplit/>
        </w:trPr>
        <w:tc>
          <w:tcPr>
            <w:tcW w:w="10490"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742C4" w:rsidRPr="004742C4" w:rsidRDefault="004742C4" w:rsidP="00525FB4">
            <w:pPr>
              <w:tabs>
                <w:tab w:val="left" w:pos="142"/>
                <w:tab w:val="left" w:pos="9465"/>
              </w:tabs>
              <w:spacing w:line="252" w:lineRule="auto"/>
              <w:ind w:left="142" w:right="189"/>
              <w:jc w:val="center"/>
              <w:rPr>
                <w:sz w:val="24"/>
                <w:szCs w:val="24"/>
                <w:lang w:val="en-US" w:eastAsia="en-US"/>
              </w:rPr>
            </w:pPr>
            <w:r w:rsidRPr="004742C4">
              <w:rPr>
                <w:sz w:val="24"/>
                <w:szCs w:val="24"/>
                <w:lang w:val="en-US" w:eastAsia="en-US"/>
              </w:rPr>
              <w:t xml:space="preserve">3. Signature </w:t>
            </w:r>
          </w:p>
        </w:tc>
      </w:tr>
      <w:tr w:rsidR="004742C4" w:rsidRPr="004742C4" w:rsidTr="004742C4">
        <w:tblPrEx>
          <w:tblCellMar>
            <w:left w:w="108" w:type="dxa"/>
            <w:right w:w="108" w:type="dxa"/>
          </w:tblCellMar>
          <w:tblLook w:val="04A0" w:firstRow="1" w:lastRow="0" w:firstColumn="1" w:lastColumn="0" w:noHBand="0" w:noVBand="1"/>
        </w:tblPrEx>
        <w:trPr>
          <w:cantSplit/>
          <w:trHeight w:val="1187"/>
        </w:trPr>
        <w:tc>
          <w:tcPr>
            <w:tcW w:w="5391" w:type="dxa"/>
            <w:tcBorders>
              <w:top w:val="single" w:sz="4" w:space="0" w:color="auto"/>
              <w:left w:val="single" w:sz="4" w:space="0" w:color="auto"/>
              <w:bottom w:val="nil"/>
              <w:right w:val="nil"/>
            </w:tcBorders>
            <w:tcMar>
              <w:top w:w="0" w:type="dxa"/>
              <w:left w:w="28" w:type="dxa"/>
              <w:bottom w:w="0" w:type="dxa"/>
              <w:right w:w="28" w:type="dxa"/>
            </w:tcMar>
            <w:vAlign w:val="bottom"/>
          </w:tcPr>
          <w:p w:rsidR="004742C4" w:rsidRPr="004742C4" w:rsidRDefault="004742C4" w:rsidP="00525FB4">
            <w:pPr>
              <w:pStyle w:val="Default"/>
              <w:spacing w:line="252" w:lineRule="auto"/>
              <w:jc w:val="both"/>
              <w:rPr>
                <w:color w:val="auto"/>
                <w:lang w:val="en-US"/>
              </w:rPr>
            </w:pPr>
            <w:r w:rsidRPr="004742C4">
              <w:rPr>
                <w:color w:val="auto"/>
                <w:lang w:val="en-US"/>
              </w:rPr>
              <w:lastRenderedPageBreak/>
              <w:t>3.1 Head of Department for Corporate Governance and Shareholders Relations Corporate Governance (by power of attorney No.</w:t>
            </w:r>
            <w:r w:rsidRPr="004742C4">
              <w:rPr>
                <w:rFonts w:eastAsia="Calibri"/>
                <w:lang w:val="en-US"/>
              </w:rPr>
              <w:t xml:space="preserve"> </w:t>
            </w:r>
            <w:r w:rsidRPr="004742C4">
              <w:rPr>
                <w:rFonts w:eastAsia="Calibri"/>
                <w:lang w:val="en-US"/>
              </w:rPr>
              <w:t>119/10-14406</w:t>
            </w:r>
            <w:r w:rsidRPr="004742C4">
              <w:rPr>
                <w:rFonts w:eastAsia="Calibri"/>
                <w:lang w:val="en-US"/>
              </w:rPr>
              <w:t xml:space="preserve"> </w:t>
            </w:r>
            <w:r w:rsidRPr="004742C4">
              <w:rPr>
                <w:lang w:val="en-US"/>
              </w:rPr>
              <w:t xml:space="preserve">of </w:t>
            </w:r>
            <w:r w:rsidRPr="004742C4">
              <w:rPr>
                <w:lang w:val="en-US"/>
              </w:rPr>
              <w:t>19.12.2018</w:t>
            </w:r>
            <w:r w:rsidRPr="004742C4">
              <w:rPr>
                <w:lang w:val="en-US"/>
              </w:rPr>
              <w:t>)</w:t>
            </w:r>
          </w:p>
          <w:p w:rsidR="004742C4" w:rsidRPr="004742C4" w:rsidRDefault="004742C4" w:rsidP="00525FB4">
            <w:pPr>
              <w:spacing w:line="252" w:lineRule="auto"/>
              <w:ind w:left="57"/>
              <w:rPr>
                <w:sz w:val="24"/>
                <w:szCs w:val="24"/>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4742C4" w:rsidRPr="004742C4" w:rsidRDefault="004742C4" w:rsidP="00525FB4">
            <w:pPr>
              <w:spacing w:line="252" w:lineRule="auto"/>
              <w:jc w:val="center"/>
              <w:rPr>
                <w:sz w:val="24"/>
                <w:szCs w:val="24"/>
                <w:lang w:val="en-US" w:eastAsia="en-US"/>
              </w:rPr>
            </w:pPr>
            <w:r w:rsidRPr="004742C4">
              <w:rPr>
                <w:sz w:val="24"/>
                <w:szCs w:val="24"/>
                <w:lang w:val="en-US" w:eastAsia="en-US"/>
              </w:rPr>
              <w:t>________________</w:t>
            </w:r>
          </w:p>
          <w:p w:rsidR="004742C4" w:rsidRPr="004742C4" w:rsidRDefault="004742C4" w:rsidP="00525FB4">
            <w:pPr>
              <w:spacing w:line="252" w:lineRule="auto"/>
              <w:jc w:val="center"/>
              <w:rPr>
                <w:sz w:val="24"/>
                <w:szCs w:val="24"/>
                <w:lang w:val="en-US" w:eastAsia="en-US"/>
              </w:rPr>
            </w:pPr>
            <w:r w:rsidRPr="004742C4">
              <w:rPr>
                <w:sz w:val="24"/>
                <w:szCs w:val="24"/>
                <w:lang w:val="en-US" w:eastAsia="en-US"/>
              </w:rPr>
              <w:t>(signature)</w:t>
            </w:r>
          </w:p>
        </w:tc>
        <w:tc>
          <w:tcPr>
            <w:tcW w:w="3123" w:type="dxa"/>
            <w:tcBorders>
              <w:top w:val="single" w:sz="4" w:space="0" w:color="auto"/>
              <w:left w:val="nil"/>
              <w:bottom w:val="nil"/>
              <w:right w:val="single" w:sz="4" w:space="0" w:color="auto"/>
            </w:tcBorders>
            <w:tcMar>
              <w:top w:w="0" w:type="dxa"/>
              <w:left w:w="28" w:type="dxa"/>
              <w:bottom w:w="0" w:type="dxa"/>
              <w:right w:w="28" w:type="dxa"/>
            </w:tcMar>
            <w:vAlign w:val="bottom"/>
          </w:tcPr>
          <w:p w:rsidR="004742C4" w:rsidRPr="004742C4" w:rsidRDefault="004742C4" w:rsidP="00525FB4">
            <w:pPr>
              <w:spacing w:line="252" w:lineRule="auto"/>
              <w:rPr>
                <w:sz w:val="24"/>
                <w:szCs w:val="24"/>
                <w:lang w:val="en-US" w:eastAsia="en-US"/>
              </w:rPr>
            </w:pPr>
            <w:proofErr w:type="spellStart"/>
            <w:r w:rsidRPr="004742C4">
              <w:rPr>
                <w:sz w:val="24"/>
                <w:szCs w:val="24"/>
                <w:lang w:val="en-US" w:eastAsia="en-US"/>
              </w:rPr>
              <w:t>Didenko</w:t>
            </w:r>
            <w:proofErr w:type="spellEnd"/>
            <w:r w:rsidRPr="004742C4">
              <w:rPr>
                <w:sz w:val="24"/>
                <w:szCs w:val="24"/>
                <w:lang w:val="en-US" w:eastAsia="en-US"/>
              </w:rPr>
              <w:t xml:space="preserve"> </w:t>
            </w:r>
            <w:proofErr w:type="spellStart"/>
            <w:r w:rsidRPr="004742C4">
              <w:rPr>
                <w:sz w:val="24"/>
                <w:szCs w:val="24"/>
                <w:lang w:val="en-US" w:eastAsia="en-US"/>
              </w:rPr>
              <w:t>Ye.Ye</w:t>
            </w:r>
            <w:proofErr w:type="spellEnd"/>
            <w:r w:rsidRPr="004742C4">
              <w:rPr>
                <w:sz w:val="24"/>
                <w:szCs w:val="24"/>
                <w:lang w:val="en-US" w:eastAsia="en-US"/>
              </w:rPr>
              <w:t>.</w:t>
            </w:r>
          </w:p>
          <w:p w:rsidR="004742C4" w:rsidRPr="004742C4" w:rsidRDefault="004742C4" w:rsidP="00525FB4">
            <w:pPr>
              <w:spacing w:line="252" w:lineRule="auto"/>
              <w:rPr>
                <w:sz w:val="24"/>
                <w:szCs w:val="24"/>
                <w:lang w:val="en-US" w:eastAsia="en-US"/>
              </w:rPr>
            </w:pPr>
          </w:p>
          <w:p w:rsidR="004742C4" w:rsidRPr="004742C4" w:rsidRDefault="004742C4" w:rsidP="00525FB4">
            <w:pPr>
              <w:spacing w:line="252" w:lineRule="auto"/>
              <w:rPr>
                <w:sz w:val="24"/>
                <w:szCs w:val="24"/>
                <w:lang w:val="en-US" w:eastAsia="en-US"/>
              </w:rPr>
            </w:pPr>
          </w:p>
        </w:tc>
      </w:tr>
      <w:tr w:rsidR="004742C4" w:rsidRPr="004742C4" w:rsidTr="004742C4">
        <w:tblPrEx>
          <w:tblCellMar>
            <w:left w:w="108" w:type="dxa"/>
            <w:right w:w="108" w:type="dxa"/>
          </w:tblCellMar>
          <w:tblLook w:val="04A0" w:firstRow="1" w:lastRow="0" w:firstColumn="1" w:lastColumn="0" w:noHBand="0" w:noVBand="1"/>
        </w:tblPrEx>
        <w:trPr>
          <w:cantSplit/>
          <w:trHeight w:val="645"/>
        </w:trPr>
        <w:tc>
          <w:tcPr>
            <w:tcW w:w="5391"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4742C4" w:rsidRPr="004742C4" w:rsidRDefault="004742C4" w:rsidP="00525FB4">
            <w:pPr>
              <w:spacing w:line="252" w:lineRule="auto"/>
              <w:rPr>
                <w:sz w:val="24"/>
                <w:szCs w:val="24"/>
                <w:lang w:val="en-US" w:eastAsia="en-US"/>
              </w:rPr>
            </w:pPr>
            <w:r w:rsidRPr="004742C4">
              <w:rPr>
                <w:sz w:val="24"/>
                <w:szCs w:val="24"/>
                <w:lang w:val="en-US" w:eastAsia="en-US"/>
              </w:rPr>
              <w:t>3.2 Date: 18 September 2019</w:t>
            </w:r>
            <w:r w:rsidRPr="004742C4">
              <w:rPr>
                <w:b/>
                <w:bCs/>
                <w:sz w:val="24"/>
                <w:szCs w:val="24"/>
                <w:lang w:val="en-US" w:eastAsia="en-US"/>
              </w:rPr>
              <w:t xml:space="preserve"> </w:t>
            </w:r>
            <w:r w:rsidRPr="004742C4">
              <w:rPr>
                <w:sz w:val="24"/>
                <w:szCs w:val="24"/>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4742C4" w:rsidRPr="004742C4" w:rsidRDefault="004742C4" w:rsidP="00525FB4">
            <w:pPr>
              <w:spacing w:line="252" w:lineRule="auto"/>
              <w:jc w:val="center"/>
              <w:rPr>
                <w:sz w:val="24"/>
                <w:szCs w:val="24"/>
                <w:lang w:val="en-US" w:eastAsia="en-US"/>
              </w:rPr>
            </w:pPr>
            <w:r w:rsidRPr="004742C4">
              <w:rPr>
                <w:sz w:val="24"/>
                <w:szCs w:val="24"/>
                <w:lang w:val="en-US" w:eastAsia="en-US"/>
              </w:rPr>
              <w:t xml:space="preserve">seal </w:t>
            </w:r>
          </w:p>
        </w:tc>
        <w:tc>
          <w:tcPr>
            <w:tcW w:w="3123" w:type="dxa"/>
            <w:tcBorders>
              <w:top w:val="nil"/>
              <w:left w:val="nil"/>
              <w:bottom w:val="single" w:sz="4" w:space="0" w:color="auto"/>
              <w:right w:val="single" w:sz="4" w:space="0" w:color="auto"/>
            </w:tcBorders>
            <w:tcMar>
              <w:top w:w="0" w:type="dxa"/>
              <w:left w:w="28" w:type="dxa"/>
              <w:bottom w:w="0" w:type="dxa"/>
              <w:right w:w="28" w:type="dxa"/>
            </w:tcMar>
            <w:vAlign w:val="bottom"/>
          </w:tcPr>
          <w:p w:rsidR="004742C4" w:rsidRPr="004742C4" w:rsidRDefault="004742C4" w:rsidP="00525FB4">
            <w:pPr>
              <w:spacing w:line="252" w:lineRule="auto"/>
              <w:rPr>
                <w:sz w:val="24"/>
                <w:szCs w:val="24"/>
                <w:lang w:val="en-US" w:eastAsia="en-US"/>
              </w:rPr>
            </w:pPr>
          </w:p>
        </w:tc>
      </w:tr>
    </w:tbl>
    <w:p w:rsidR="004742C4" w:rsidRPr="004742C4" w:rsidRDefault="004742C4" w:rsidP="004742C4">
      <w:pPr>
        <w:rPr>
          <w:sz w:val="24"/>
          <w:szCs w:val="24"/>
        </w:rPr>
      </w:pPr>
    </w:p>
    <w:bookmarkEnd w:id="0"/>
    <w:p w:rsidR="008D1248" w:rsidRPr="004742C4" w:rsidRDefault="008D1248">
      <w:pPr>
        <w:rPr>
          <w:sz w:val="24"/>
          <w:szCs w:val="24"/>
        </w:rPr>
      </w:pPr>
    </w:p>
    <w:sectPr w:rsidR="008D1248" w:rsidRPr="004742C4">
      <w:pgSz w:w="11906" w:h="16838"/>
      <w:pgMar w:top="850" w:right="850" w:bottom="567" w:left="1134" w:header="397" w:footer="39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C3"/>
    <w:rsid w:val="002C77D8"/>
    <w:rsid w:val="004742C4"/>
    <w:rsid w:val="007C7910"/>
    <w:rsid w:val="007D7DD2"/>
    <w:rsid w:val="008B76C3"/>
    <w:rsid w:val="008D1248"/>
    <w:rsid w:val="009011F6"/>
    <w:rsid w:val="009C3F8C"/>
    <w:rsid w:val="00A07D8A"/>
    <w:rsid w:val="00AC1FEB"/>
    <w:rsid w:val="00CF29EC"/>
    <w:rsid w:val="00D223EA"/>
    <w:rsid w:val="00D70CF1"/>
    <w:rsid w:val="00DA0F7F"/>
    <w:rsid w:val="00E35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F825"/>
  <w15:docId w15:val="{A094499D-9BC4-46E1-A3E2-1653592B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F7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A0F7F"/>
    <w:rPr>
      <w:rFonts w:cs="Times New Roman"/>
      <w:color w:val="0000FF"/>
      <w:u w:val="single"/>
    </w:rPr>
  </w:style>
  <w:style w:type="paragraph" w:styleId="a4">
    <w:name w:val="Plain Text"/>
    <w:aliases w:val="Текст Знак Знак Знак Знак Знак Знак Знак Знак Знак Знак,Текст Знак1 Знак,Текст Знак Знак Знак,Текст Знак Знак Знак Знак Знак Знак Знак Знак Знак Знак Знак Знак Знак,Текст Знак1 Знак Знак Знак,Текст Знак Знак Знак Знак Знак"/>
    <w:basedOn w:val="a"/>
    <w:link w:val="a5"/>
    <w:uiPriority w:val="99"/>
    <w:rsid w:val="00DA0F7F"/>
    <w:pPr>
      <w:autoSpaceDE/>
      <w:autoSpaceDN/>
    </w:pPr>
    <w:rPr>
      <w:rFonts w:ascii="Courier New" w:hAnsi="Courier New"/>
    </w:rPr>
  </w:style>
  <w:style w:type="character" w:customStyle="1" w:styleId="a5">
    <w:name w:val="Текст Знак"/>
    <w:aliases w:val="Текст Знак Знак Знак Знак Знак Знак Знак Знак Знак Знак Знак,Текст Знак1 Знак Знак,Текст Знак Знак Знак Знак,Текст Знак Знак Знак Знак Знак Знак Знак Знак Знак Знак Знак Знак Знак Знак,Текст Знак1 Знак Знак Знак Знак"/>
    <w:basedOn w:val="a0"/>
    <w:link w:val="a4"/>
    <w:uiPriority w:val="99"/>
    <w:rsid w:val="00DA0F7F"/>
    <w:rPr>
      <w:rFonts w:ascii="Courier New" w:eastAsia="Times New Roman" w:hAnsi="Courier New" w:cs="Times New Roman"/>
      <w:sz w:val="20"/>
      <w:szCs w:val="20"/>
      <w:lang w:eastAsia="ru-RU"/>
    </w:rPr>
  </w:style>
  <w:style w:type="paragraph" w:styleId="a6">
    <w:name w:val="No Spacing"/>
    <w:uiPriority w:val="1"/>
    <w:qFormat/>
    <w:rsid w:val="00DA0F7F"/>
    <w:pPr>
      <w:spacing w:after="0" w:line="240" w:lineRule="auto"/>
    </w:pPr>
  </w:style>
  <w:style w:type="table" w:styleId="a7">
    <w:name w:val="Table Grid"/>
    <w:basedOn w:val="a1"/>
    <w:uiPriority w:val="59"/>
    <w:rsid w:val="00DA0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7D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UBST">
    <w:name w:val="__SUBST"/>
    <w:uiPriority w:val="99"/>
    <w:rsid w:val="004742C4"/>
    <w:rPr>
      <w:b/>
      <w:bCs w:val="0"/>
      <w:i/>
      <w:iC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558</Words>
  <Characters>3183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5</cp:revision>
  <dcterms:created xsi:type="dcterms:W3CDTF">2017-10-23T23:26:00Z</dcterms:created>
  <dcterms:modified xsi:type="dcterms:W3CDTF">2019-09-22T15:32:00Z</dcterms:modified>
</cp:coreProperties>
</file>