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293E08" w:rsidRDefault="0005580F" w:rsidP="0005580F">
      <w:pPr>
        <w:pStyle w:val="a3"/>
        <w:jc w:val="center"/>
        <w:rPr>
          <w:rFonts w:ascii="Times New Roman" w:hAnsi="Times New Roman" w:cs="Times New Roman"/>
          <w:b/>
          <w:color w:val="000000" w:themeColor="text1"/>
          <w:sz w:val="26"/>
          <w:szCs w:val="26"/>
          <w:lang w:val="en-US"/>
        </w:rPr>
      </w:pPr>
      <w:r w:rsidRPr="00293E08">
        <w:rPr>
          <w:rFonts w:ascii="Times New Roman" w:hAnsi="Times New Roman" w:cs="Times New Roman"/>
          <w:b/>
          <w:color w:val="000000" w:themeColor="text1"/>
          <w:sz w:val="26"/>
          <w:szCs w:val="26"/>
          <w:lang w:val="en-US"/>
        </w:rPr>
        <w:t>Statement of material fact</w:t>
      </w:r>
    </w:p>
    <w:p w:rsidR="0005580F" w:rsidRPr="00293E08" w:rsidRDefault="0005580F" w:rsidP="0005580F">
      <w:pPr>
        <w:pStyle w:val="a3"/>
        <w:jc w:val="center"/>
        <w:rPr>
          <w:rFonts w:ascii="Times New Roman" w:hAnsi="Times New Roman" w:cs="Times New Roman"/>
          <w:b/>
          <w:bCs/>
          <w:color w:val="000000" w:themeColor="text1"/>
          <w:sz w:val="26"/>
          <w:szCs w:val="26"/>
          <w:lang w:val="en-US"/>
        </w:rPr>
      </w:pPr>
      <w:r w:rsidRPr="00293E08">
        <w:rPr>
          <w:rFonts w:ascii="Times New Roman" w:hAnsi="Times New Roman" w:cs="Times New Roman"/>
          <w:b/>
          <w:bCs/>
          <w:color w:val="000000" w:themeColor="text1"/>
          <w:sz w:val="26"/>
          <w:szCs w:val="26"/>
          <w:lang w:val="en-US"/>
        </w:rPr>
        <w:t>“On decisions adopted by the Issuer’s Board of Directors”</w:t>
      </w:r>
    </w:p>
    <w:p w:rsidR="00773A71" w:rsidRPr="00293E08" w:rsidRDefault="0005580F" w:rsidP="0005580F">
      <w:pPr>
        <w:pStyle w:val="a3"/>
        <w:jc w:val="center"/>
        <w:rPr>
          <w:rFonts w:ascii="Times New Roman" w:hAnsi="Times New Roman" w:cs="Times New Roman"/>
          <w:b/>
          <w:sz w:val="26"/>
          <w:szCs w:val="26"/>
        </w:rPr>
      </w:pPr>
      <w:r w:rsidRPr="00293E08">
        <w:rPr>
          <w:rFonts w:ascii="Times New Roman" w:hAnsi="Times New Roman" w:cs="Times New Roman"/>
          <w:b/>
          <w:bCs/>
          <w:color w:val="000000" w:themeColor="text1"/>
          <w:sz w:val="26"/>
          <w:szCs w:val="26"/>
          <w:lang w:val="en-US"/>
        </w:rPr>
        <w:t>(disclosure of inside information)</w:t>
      </w:r>
    </w:p>
    <w:tbl>
      <w:tblPr>
        <w:tblStyle w:val="a5"/>
        <w:tblW w:w="10348" w:type="dxa"/>
        <w:tblInd w:w="-601" w:type="dxa"/>
        <w:tblLayout w:type="fixed"/>
        <w:tblLook w:val="04A0" w:firstRow="1" w:lastRow="0" w:firstColumn="1" w:lastColumn="0" w:noHBand="0" w:noVBand="1"/>
      </w:tblPr>
      <w:tblGrid>
        <w:gridCol w:w="4820"/>
        <w:gridCol w:w="5528"/>
      </w:tblGrid>
      <w:tr w:rsidR="0045226D" w:rsidRPr="00293E08" w:rsidTr="0051482D">
        <w:tc>
          <w:tcPr>
            <w:tcW w:w="10348" w:type="dxa"/>
            <w:gridSpan w:val="2"/>
          </w:tcPr>
          <w:p w:rsidR="0045226D" w:rsidRPr="00293E08" w:rsidRDefault="00FA1546" w:rsidP="006A7084">
            <w:pPr>
              <w:pStyle w:val="a3"/>
              <w:numPr>
                <w:ilvl w:val="0"/>
                <w:numId w:val="1"/>
              </w:numPr>
              <w:jc w:val="center"/>
              <w:rPr>
                <w:rFonts w:ascii="Times New Roman" w:hAnsi="Times New Roman" w:cs="Times New Roman"/>
                <w:sz w:val="26"/>
                <w:szCs w:val="26"/>
              </w:rPr>
            </w:pPr>
            <w:r w:rsidRPr="00293E08">
              <w:rPr>
                <w:rFonts w:ascii="Times New Roman" w:hAnsi="Times New Roman" w:cs="Times New Roman"/>
                <w:color w:val="000000" w:themeColor="text1"/>
                <w:sz w:val="26"/>
                <w:szCs w:val="26"/>
                <w:lang w:val="en-US"/>
              </w:rPr>
              <w:t>General data</w:t>
            </w:r>
          </w:p>
        </w:tc>
      </w:tr>
      <w:tr w:rsidR="0005580F" w:rsidRPr="00293E08" w:rsidTr="00293E08">
        <w:trPr>
          <w:trHeight w:val="599"/>
        </w:trPr>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 xml:space="preserve">1.1  Full business name of the issuer </w:t>
            </w:r>
          </w:p>
        </w:tc>
        <w:tc>
          <w:tcPr>
            <w:tcW w:w="5528" w:type="dxa"/>
          </w:tcPr>
          <w:p w:rsidR="0005580F" w:rsidRPr="00293E08" w:rsidRDefault="0005580F" w:rsidP="0005580F">
            <w:pPr>
              <w:pStyle w:val="a3"/>
              <w:jc w:val="both"/>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Public joint-stock company of Power Industry and Electrification of Kuban</w:t>
            </w:r>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1.2. Abbreviated business name of the issuer</w:t>
            </w:r>
          </w:p>
        </w:tc>
        <w:tc>
          <w:tcPr>
            <w:tcW w:w="5528" w:type="dxa"/>
          </w:tcPr>
          <w:p w:rsidR="0005580F" w:rsidRPr="00293E08" w:rsidRDefault="0005580F" w:rsidP="0005580F">
            <w:pPr>
              <w:pStyle w:val="a3"/>
              <w:jc w:val="both"/>
              <w:rPr>
                <w:rFonts w:ascii="Times New Roman" w:hAnsi="Times New Roman" w:cs="Times New Roman"/>
                <w:color w:val="000000" w:themeColor="text1"/>
                <w:sz w:val="26"/>
                <w:szCs w:val="26"/>
              </w:rPr>
            </w:pPr>
            <w:r w:rsidRPr="00293E08">
              <w:rPr>
                <w:rFonts w:ascii="Times New Roman" w:hAnsi="Times New Roman" w:cs="Times New Roman"/>
                <w:color w:val="000000" w:themeColor="text1"/>
                <w:sz w:val="26"/>
                <w:szCs w:val="26"/>
                <w:lang w:val="en-US"/>
              </w:rPr>
              <w:t>“Kubanenergo” PJSC</w:t>
            </w:r>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rPr>
              <w:t xml:space="preserve">1.3. </w:t>
            </w:r>
            <w:r w:rsidRPr="00293E08">
              <w:rPr>
                <w:rFonts w:ascii="Times New Roman" w:hAnsi="Times New Roman" w:cs="Times New Roman"/>
                <w:sz w:val="26"/>
                <w:szCs w:val="26"/>
                <w:lang w:val="en-US"/>
              </w:rPr>
              <w:t>Location of the issuer</w:t>
            </w:r>
          </w:p>
        </w:tc>
        <w:tc>
          <w:tcPr>
            <w:tcW w:w="5528" w:type="dxa"/>
          </w:tcPr>
          <w:p w:rsidR="0005580F" w:rsidRPr="00293E08" w:rsidRDefault="0005580F" w:rsidP="0005580F">
            <w:pPr>
              <w:jc w:val="both"/>
              <w:rPr>
                <w:color w:val="000000" w:themeColor="text1"/>
                <w:sz w:val="26"/>
                <w:szCs w:val="26"/>
                <w:lang w:val="en-US" w:eastAsia="en-US"/>
              </w:rPr>
            </w:pPr>
            <w:r w:rsidRPr="00293E08">
              <w:rPr>
                <w:color w:val="000000" w:themeColor="text1"/>
                <w:sz w:val="26"/>
                <w:szCs w:val="26"/>
                <w:lang w:val="en-US" w:eastAsia="en-US"/>
              </w:rPr>
              <w:t>Krasnodar, Russian Federation</w:t>
            </w:r>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1.4. PSRN of the issuer</w:t>
            </w:r>
          </w:p>
        </w:tc>
        <w:tc>
          <w:tcPr>
            <w:tcW w:w="5528" w:type="dxa"/>
          </w:tcPr>
          <w:p w:rsidR="0005580F" w:rsidRPr="00293E08" w:rsidRDefault="0005580F" w:rsidP="0005580F">
            <w:pPr>
              <w:pStyle w:val="a3"/>
              <w:jc w:val="both"/>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1022301427268</w:t>
            </w:r>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1.5. TIN of the issuer</w:t>
            </w:r>
          </w:p>
        </w:tc>
        <w:tc>
          <w:tcPr>
            <w:tcW w:w="5528" w:type="dxa"/>
          </w:tcPr>
          <w:p w:rsidR="0005580F" w:rsidRPr="00293E08" w:rsidRDefault="0005580F" w:rsidP="0005580F">
            <w:pPr>
              <w:pStyle w:val="a3"/>
              <w:jc w:val="both"/>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2309001660</w:t>
            </w:r>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 xml:space="preserve">1.6. The </w:t>
            </w:r>
            <w:r w:rsidRPr="00293E08">
              <w:rPr>
                <w:rFonts w:ascii="Times New Roman" w:hAnsi="Times New Roman" w:cs="Times New Roman"/>
                <w:sz w:val="26"/>
                <w:szCs w:val="26"/>
                <w:lang w:val="en-GB"/>
              </w:rPr>
              <w:t>issuer’s unique code assigned by the registering body</w:t>
            </w:r>
          </w:p>
        </w:tc>
        <w:tc>
          <w:tcPr>
            <w:tcW w:w="5528" w:type="dxa"/>
          </w:tcPr>
          <w:p w:rsidR="0005580F" w:rsidRPr="00293E08" w:rsidRDefault="0005580F" w:rsidP="0005580F">
            <w:pPr>
              <w:pStyle w:val="a3"/>
              <w:jc w:val="both"/>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rPr>
              <w:t>00063-</w:t>
            </w:r>
            <w:r w:rsidRPr="00293E08">
              <w:rPr>
                <w:rFonts w:ascii="Times New Roman" w:hAnsi="Times New Roman" w:cs="Times New Roman"/>
                <w:color w:val="000000" w:themeColor="text1"/>
                <w:sz w:val="26"/>
                <w:szCs w:val="26"/>
                <w:lang w:val="en-US"/>
              </w:rPr>
              <w:t>A</w:t>
            </w:r>
          </w:p>
        </w:tc>
      </w:tr>
      <w:tr w:rsidR="0005580F" w:rsidRPr="00293E08" w:rsidTr="00293E08">
        <w:trPr>
          <w:trHeight w:val="730"/>
        </w:trPr>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 xml:space="preserve">1.7. Website used by the issuer for information disclosure </w:t>
            </w:r>
          </w:p>
        </w:tc>
        <w:tc>
          <w:tcPr>
            <w:tcW w:w="5528" w:type="dxa"/>
          </w:tcPr>
          <w:p w:rsidR="0005580F" w:rsidRPr="00293E08" w:rsidRDefault="005620A2" w:rsidP="0005580F">
            <w:pPr>
              <w:pStyle w:val="a3"/>
              <w:jc w:val="both"/>
              <w:rPr>
                <w:rFonts w:ascii="Times New Roman" w:hAnsi="Times New Roman" w:cs="Times New Roman"/>
                <w:szCs w:val="26"/>
                <w:lang w:val="en-US"/>
              </w:rPr>
            </w:pPr>
            <w:hyperlink r:id="rId8" w:history="1">
              <w:r w:rsidR="0005580F" w:rsidRPr="00293E08">
                <w:rPr>
                  <w:rStyle w:val="af4"/>
                  <w:rFonts w:ascii="Times New Roman" w:hAnsi="Times New Roman" w:cs="Times New Roman"/>
                  <w:szCs w:val="26"/>
                  <w:lang w:val="en-US"/>
                </w:rPr>
                <w:t>www.kubanenergo.ru</w:t>
              </w:r>
            </w:hyperlink>
            <w:r w:rsidR="0005580F" w:rsidRPr="00293E08">
              <w:rPr>
                <w:rFonts w:ascii="Times New Roman" w:hAnsi="Times New Roman" w:cs="Times New Roman"/>
                <w:szCs w:val="26"/>
                <w:lang w:val="en-US"/>
              </w:rPr>
              <w:t xml:space="preserve"> </w:t>
            </w:r>
          </w:p>
          <w:p w:rsidR="0005580F" w:rsidRPr="00293E08" w:rsidRDefault="005620A2" w:rsidP="0005580F">
            <w:pPr>
              <w:pStyle w:val="a3"/>
              <w:jc w:val="both"/>
              <w:rPr>
                <w:rFonts w:ascii="Times New Roman" w:hAnsi="Times New Roman" w:cs="Times New Roman"/>
                <w:color w:val="000000" w:themeColor="text1"/>
                <w:szCs w:val="26"/>
                <w:lang w:val="en-US"/>
              </w:rPr>
            </w:pPr>
            <w:hyperlink r:id="rId9" w:history="1">
              <w:r w:rsidR="0005580F" w:rsidRPr="00293E08">
                <w:rPr>
                  <w:rStyle w:val="af4"/>
                  <w:rFonts w:ascii="Times New Roman" w:hAnsi="Times New Roman" w:cs="Times New Roman"/>
                  <w:szCs w:val="26"/>
                  <w:lang w:val="en-US"/>
                </w:rPr>
                <w:t>http://www.e-disclosure.ru/portal/company.aspx?id=2827</w:t>
              </w:r>
            </w:hyperlink>
          </w:p>
        </w:tc>
      </w:tr>
      <w:tr w:rsidR="0005580F" w:rsidRPr="00293E08" w:rsidTr="00293E08">
        <w:tc>
          <w:tcPr>
            <w:tcW w:w="4820" w:type="dxa"/>
          </w:tcPr>
          <w:p w:rsidR="0005580F" w:rsidRPr="00293E08" w:rsidRDefault="0005580F" w:rsidP="0005580F">
            <w:pPr>
              <w:pStyle w:val="a3"/>
              <w:spacing w:line="252" w:lineRule="auto"/>
              <w:rPr>
                <w:rFonts w:ascii="Times New Roman" w:hAnsi="Times New Roman" w:cs="Times New Roman"/>
                <w:sz w:val="26"/>
                <w:szCs w:val="26"/>
                <w:lang w:val="en-US"/>
              </w:rPr>
            </w:pPr>
            <w:r w:rsidRPr="00293E08">
              <w:rPr>
                <w:rFonts w:ascii="Times New Roman" w:hAnsi="Times New Roman" w:cs="Times New Roman"/>
                <w:sz w:val="26"/>
                <w:szCs w:val="26"/>
                <w:lang w:val="en-US"/>
              </w:rPr>
              <w:t>1.8. Date of the event (material fact) that is disclosed in the statement (if applicable)</w:t>
            </w:r>
          </w:p>
        </w:tc>
        <w:tc>
          <w:tcPr>
            <w:tcW w:w="5528" w:type="dxa"/>
          </w:tcPr>
          <w:p w:rsidR="0005580F" w:rsidRPr="00293E08" w:rsidRDefault="009D4283" w:rsidP="00736D93">
            <w:pPr>
              <w:pStyle w:val="a3"/>
              <w:jc w:val="both"/>
              <w:rPr>
                <w:rFonts w:ascii="Times New Roman" w:hAnsi="Times New Roman" w:cs="Times New Roman"/>
                <w:sz w:val="26"/>
                <w:szCs w:val="26"/>
                <w:lang w:val="en-US"/>
              </w:rPr>
            </w:pPr>
            <w:r w:rsidRPr="00293E08">
              <w:rPr>
                <w:rFonts w:ascii="Times New Roman" w:hAnsi="Times New Roman" w:cs="Times New Roman"/>
                <w:sz w:val="26"/>
                <w:szCs w:val="26"/>
              </w:rPr>
              <w:t>1</w:t>
            </w:r>
            <w:r w:rsidR="00736D93" w:rsidRPr="00293E08">
              <w:rPr>
                <w:rFonts w:ascii="Times New Roman" w:hAnsi="Times New Roman" w:cs="Times New Roman"/>
                <w:sz w:val="26"/>
                <w:szCs w:val="26"/>
              </w:rPr>
              <w:t>3</w:t>
            </w:r>
            <w:r w:rsidR="006538FF" w:rsidRPr="00293E08">
              <w:rPr>
                <w:rFonts w:ascii="Times New Roman" w:hAnsi="Times New Roman" w:cs="Times New Roman"/>
                <w:sz w:val="26"/>
                <w:szCs w:val="26"/>
              </w:rPr>
              <w:t>.0</w:t>
            </w:r>
            <w:r w:rsidR="008C1126" w:rsidRPr="00293E08">
              <w:rPr>
                <w:rFonts w:ascii="Times New Roman" w:hAnsi="Times New Roman" w:cs="Times New Roman"/>
                <w:sz w:val="26"/>
                <w:szCs w:val="26"/>
              </w:rPr>
              <w:t>8</w:t>
            </w:r>
            <w:r w:rsidR="006538FF" w:rsidRPr="00293E08">
              <w:rPr>
                <w:rFonts w:ascii="Times New Roman" w:hAnsi="Times New Roman" w:cs="Times New Roman"/>
                <w:sz w:val="26"/>
                <w:szCs w:val="26"/>
              </w:rPr>
              <w:t>.2019</w:t>
            </w:r>
          </w:p>
        </w:tc>
      </w:tr>
      <w:tr w:rsidR="0005580F" w:rsidRPr="00293E08" w:rsidTr="0051482D">
        <w:tc>
          <w:tcPr>
            <w:tcW w:w="10348" w:type="dxa"/>
            <w:gridSpan w:val="2"/>
          </w:tcPr>
          <w:p w:rsidR="0005580F" w:rsidRPr="00293E08" w:rsidRDefault="0005580F" w:rsidP="0005580F">
            <w:pPr>
              <w:widowControl w:val="0"/>
              <w:shd w:val="clear" w:color="auto" w:fill="FFFFFF"/>
              <w:tabs>
                <w:tab w:val="left" w:pos="432"/>
              </w:tabs>
              <w:adjustRightInd w:val="0"/>
              <w:jc w:val="center"/>
              <w:rPr>
                <w:b/>
                <w:bCs/>
                <w:color w:val="000000" w:themeColor="text1"/>
                <w:sz w:val="26"/>
                <w:szCs w:val="26"/>
                <w:lang w:val="en-US" w:eastAsia="en-US"/>
              </w:rPr>
            </w:pPr>
            <w:r w:rsidRPr="00293E08">
              <w:rPr>
                <w:color w:val="000000" w:themeColor="text1"/>
                <w:sz w:val="26"/>
                <w:szCs w:val="26"/>
                <w:lang w:val="en-US" w:eastAsia="en-US"/>
              </w:rPr>
              <w:t>2. Statement content</w:t>
            </w:r>
          </w:p>
        </w:tc>
      </w:tr>
      <w:tr w:rsidR="004D0A6C" w:rsidRPr="00293E08" w:rsidTr="0051482D">
        <w:trPr>
          <w:trHeight w:val="2660"/>
        </w:trPr>
        <w:tc>
          <w:tcPr>
            <w:tcW w:w="10348" w:type="dxa"/>
            <w:gridSpan w:val="2"/>
          </w:tcPr>
          <w:p w:rsidR="007E1E11" w:rsidRPr="00293E08" w:rsidRDefault="0005580F" w:rsidP="006A7084">
            <w:pPr>
              <w:pStyle w:val="a3"/>
              <w:jc w:val="both"/>
              <w:rPr>
                <w:rFonts w:ascii="Times New Roman" w:hAnsi="Times New Roman" w:cs="Times New Roman"/>
                <w:sz w:val="26"/>
                <w:szCs w:val="26"/>
                <w:lang w:val="en-US"/>
              </w:rPr>
            </w:pPr>
            <w:r w:rsidRPr="00293E08">
              <w:rPr>
                <w:rFonts w:ascii="Times New Roman" w:hAnsi="Times New Roman" w:cs="Times New Roman"/>
                <w:b/>
                <w:color w:val="000000" w:themeColor="text1"/>
                <w:sz w:val="26"/>
                <w:szCs w:val="26"/>
                <w:lang w:val="en-US"/>
              </w:rPr>
              <w:t>2.1 Quorum of meeting of the issuer’s BoD and the results of voting on the proposed decisions</w:t>
            </w:r>
            <w:r w:rsidR="004D0A6C" w:rsidRPr="00293E08">
              <w:rPr>
                <w:rFonts w:ascii="Times New Roman" w:hAnsi="Times New Roman" w:cs="Times New Roman"/>
                <w:sz w:val="26"/>
                <w:szCs w:val="26"/>
                <w:lang w:val="en-US"/>
              </w:rPr>
              <w:t>:</w:t>
            </w:r>
            <w:r w:rsidR="007E1E11" w:rsidRPr="00293E08">
              <w:rPr>
                <w:rFonts w:ascii="Times New Roman" w:hAnsi="Times New Roman" w:cs="Times New Roman"/>
                <w:sz w:val="26"/>
                <w:szCs w:val="26"/>
                <w:lang w:val="en-US"/>
              </w:rPr>
              <w:t xml:space="preserve"> </w:t>
            </w:r>
          </w:p>
          <w:p w:rsidR="0005580F" w:rsidRPr="00293E08" w:rsidRDefault="0005580F" w:rsidP="0005580F">
            <w:pPr>
              <w:widowControl w:val="0"/>
              <w:jc w:val="both"/>
              <w:rPr>
                <w:color w:val="000000" w:themeColor="text1"/>
                <w:sz w:val="26"/>
                <w:szCs w:val="26"/>
                <w:lang w:val="en-US" w:eastAsia="en-US"/>
              </w:rPr>
            </w:pPr>
            <w:r w:rsidRPr="00293E08">
              <w:rPr>
                <w:color w:val="000000" w:themeColor="text1"/>
                <w:sz w:val="26"/>
                <w:szCs w:val="26"/>
                <w:lang w:val="en-US" w:eastAsia="en-US"/>
              </w:rPr>
              <w:t>Number of the BoD members: 11 members</w:t>
            </w:r>
          </w:p>
          <w:p w:rsidR="0005580F" w:rsidRPr="00293E08" w:rsidRDefault="0005580F" w:rsidP="0005580F">
            <w:pPr>
              <w:tabs>
                <w:tab w:val="left" w:pos="284"/>
              </w:tabs>
              <w:jc w:val="both"/>
              <w:rPr>
                <w:color w:val="000000" w:themeColor="text1"/>
                <w:sz w:val="26"/>
                <w:szCs w:val="26"/>
                <w:lang w:val="en-US" w:eastAsia="en-US"/>
              </w:rPr>
            </w:pPr>
            <w:r w:rsidRPr="00293E08">
              <w:rPr>
                <w:color w:val="000000" w:themeColor="text1"/>
                <w:sz w:val="26"/>
                <w:szCs w:val="26"/>
                <w:lang w:val="en-US" w:eastAsia="en-US"/>
              </w:rPr>
              <w:t>Members participated in the meeting: 11 members</w:t>
            </w:r>
          </w:p>
          <w:p w:rsidR="004D0A6C" w:rsidRPr="00293E08" w:rsidRDefault="0005580F" w:rsidP="0005580F">
            <w:pPr>
              <w:pStyle w:val="a3"/>
              <w:jc w:val="both"/>
              <w:rPr>
                <w:rFonts w:ascii="Times New Roman" w:hAnsi="Times New Roman" w:cs="Times New Roman"/>
                <w:b/>
                <w:i/>
                <w:sz w:val="26"/>
                <w:szCs w:val="26"/>
                <w:lang w:val="en-US"/>
              </w:rPr>
            </w:pPr>
            <w:r w:rsidRPr="00293E08">
              <w:rPr>
                <w:rFonts w:ascii="Times New Roman" w:hAnsi="Times New Roman" w:cs="Times New Roman"/>
                <w:color w:val="000000" w:themeColor="text1"/>
                <w:sz w:val="26"/>
                <w:szCs w:val="26"/>
                <w:lang w:val="en-US"/>
              </w:rPr>
              <w:t>Quorum necessary for holding the meeting of Kubanenergo PJSC Board of Directors is present</w:t>
            </w:r>
            <w:r w:rsidR="004D0A6C" w:rsidRPr="00293E08">
              <w:rPr>
                <w:rFonts w:ascii="Times New Roman" w:hAnsi="Times New Roman" w:cs="Times New Roman"/>
                <w:i/>
                <w:sz w:val="26"/>
                <w:szCs w:val="26"/>
                <w:lang w:val="en-US"/>
              </w:rPr>
              <w:t>.</w:t>
            </w:r>
          </w:p>
          <w:p w:rsidR="007E1E11" w:rsidRPr="00293E08" w:rsidRDefault="0005580F" w:rsidP="006A7084">
            <w:pPr>
              <w:pStyle w:val="a3"/>
              <w:jc w:val="center"/>
              <w:rPr>
                <w:rFonts w:ascii="Times New Roman" w:hAnsi="Times New Roman" w:cs="Times New Roman"/>
                <w:b/>
                <w:i/>
                <w:sz w:val="26"/>
                <w:szCs w:val="26"/>
              </w:rPr>
            </w:pPr>
            <w:r w:rsidRPr="00293E08">
              <w:rPr>
                <w:rFonts w:ascii="Times New Roman" w:hAnsi="Times New Roman" w:cs="Times New Roman"/>
                <w:color w:val="000000" w:themeColor="text1"/>
                <w:sz w:val="26"/>
                <w:szCs w:val="26"/>
                <w:lang w:val="en-US"/>
              </w:rPr>
              <w:t>Voting</w:t>
            </w:r>
            <w:r w:rsidRPr="00293E08">
              <w:rPr>
                <w:rFonts w:ascii="Times New Roman" w:hAnsi="Times New Roman" w:cs="Times New Roman"/>
                <w:color w:val="000000" w:themeColor="text1"/>
                <w:sz w:val="26"/>
                <w:szCs w:val="26"/>
              </w:rPr>
              <w:t xml:space="preserve"> </w:t>
            </w:r>
            <w:r w:rsidRPr="00293E08">
              <w:rPr>
                <w:rFonts w:ascii="Times New Roman" w:hAnsi="Times New Roman" w:cs="Times New Roman"/>
                <w:color w:val="000000" w:themeColor="text1"/>
                <w:sz w:val="26"/>
                <w:szCs w:val="26"/>
                <w:lang w:val="en-US"/>
              </w:rPr>
              <w:t>results</w:t>
            </w:r>
            <w:r w:rsidR="004D0A6C" w:rsidRPr="00293E08">
              <w:rPr>
                <w:rFonts w:ascii="Times New Roman" w:hAnsi="Times New Roman" w:cs="Times New Roman"/>
                <w:b/>
                <w:sz w:val="26"/>
                <w:szCs w:val="26"/>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293E08" w:rsidTr="009A2F8C">
              <w:trPr>
                <w:jc w:val="center"/>
              </w:trPr>
              <w:tc>
                <w:tcPr>
                  <w:tcW w:w="1129" w:type="dxa"/>
                  <w:vMerge w:val="restart"/>
                </w:tcPr>
                <w:p w:rsidR="0005580F" w:rsidRPr="00293E08" w:rsidRDefault="0005580F" w:rsidP="0005580F">
                  <w:pPr>
                    <w:pStyle w:val="a3"/>
                    <w:jc w:val="both"/>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No.</w:t>
                  </w:r>
                </w:p>
              </w:tc>
              <w:tc>
                <w:tcPr>
                  <w:tcW w:w="6166" w:type="dxa"/>
                  <w:gridSpan w:val="3"/>
                </w:tcPr>
                <w:p w:rsidR="0005580F" w:rsidRPr="00293E08" w:rsidRDefault="0005580F" w:rsidP="0005580F">
                  <w:pPr>
                    <w:pStyle w:val="a3"/>
                    <w:jc w:val="center"/>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Votes</w:t>
                  </w:r>
                </w:p>
              </w:tc>
            </w:tr>
            <w:tr w:rsidR="0005580F" w:rsidRPr="00293E08" w:rsidTr="009A2F8C">
              <w:trPr>
                <w:jc w:val="center"/>
              </w:trPr>
              <w:tc>
                <w:tcPr>
                  <w:tcW w:w="1129" w:type="dxa"/>
                  <w:vMerge/>
                </w:tcPr>
                <w:p w:rsidR="0005580F" w:rsidRPr="00293E08" w:rsidRDefault="0005580F" w:rsidP="0005580F">
                  <w:pPr>
                    <w:pStyle w:val="a3"/>
                    <w:jc w:val="center"/>
                    <w:rPr>
                      <w:rFonts w:ascii="Times New Roman" w:hAnsi="Times New Roman" w:cs="Times New Roman"/>
                      <w:b/>
                      <w:sz w:val="26"/>
                      <w:szCs w:val="26"/>
                    </w:rPr>
                  </w:pPr>
                </w:p>
              </w:tc>
              <w:tc>
                <w:tcPr>
                  <w:tcW w:w="1843" w:type="dxa"/>
                </w:tcPr>
                <w:p w:rsidR="0005580F" w:rsidRPr="00293E08" w:rsidRDefault="0005580F" w:rsidP="0005580F">
                  <w:pPr>
                    <w:pStyle w:val="a3"/>
                    <w:jc w:val="center"/>
                    <w:rPr>
                      <w:rFonts w:ascii="Times New Roman" w:hAnsi="Times New Roman" w:cs="Times New Roman"/>
                      <w:b/>
                      <w:color w:val="000000" w:themeColor="text1"/>
                      <w:sz w:val="26"/>
                      <w:szCs w:val="26"/>
                      <w:lang w:val="en-US"/>
                    </w:rPr>
                  </w:pPr>
                  <w:r w:rsidRPr="00293E08">
                    <w:rPr>
                      <w:rFonts w:ascii="Times New Roman" w:hAnsi="Times New Roman" w:cs="Times New Roman"/>
                      <w:color w:val="000000" w:themeColor="text1"/>
                      <w:sz w:val="26"/>
                      <w:szCs w:val="26"/>
                      <w:lang w:val="en-US"/>
                    </w:rPr>
                    <w:t>FOR</w:t>
                  </w:r>
                </w:p>
              </w:tc>
              <w:tc>
                <w:tcPr>
                  <w:tcW w:w="1985" w:type="dxa"/>
                </w:tcPr>
                <w:p w:rsidR="0005580F" w:rsidRPr="00293E08" w:rsidRDefault="0005580F" w:rsidP="0005580F">
                  <w:pPr>
                    <w:pStyle w:val="a3"/>
                    <w:jc w:val="center"/>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AGAINST</w:t>
                  </w:r>
                </w:p>
              </w:tc>
              <w:tc>
                <w:tcPr>
                  <w:tcW w:w="2338" w:type="dxa"/>
                </w:tcPr>
                <w:p w:rsidR="0005580F" w:rsidRPr="00293E08" w:rsidRDefault="0005580F" w:rsidP="0005580F">
                  <w:pPr>
                    <w:pStyle w:val="a3"/>
                    <w:jc w:val="center"/>
                    <w:rPr>
                      <w:rFonts w:ascii="Times New Roman" w:hAnsi="Times New Roman" w:cs="Times New Roman"/>
                      <w:color w:val="000000" w:themeColor="text1"/>
                      <w:sz w:val="26"/>
                      <w:szCs w:val="26"/>
                      <w:lang w:val="en-US"/>
                    </w:rPr>
                  </w:pPr>
                  <w:r w:rsidRPr="00293E08">
                    <w:rPr>
                      <w:rFonts w:ascii="Times New Roman" w:hAnsi="Times New Roman" w:cs="Times New Roman"/>
                      <w:color w:val="000000" w:themeColor="text1"/>
                      <w:sz w:val="26"/>
                      <w:szCs w:val="26"/>
                      <w:lang w:val="en-US"/>
                    </w:rPr>
                    <w:t>ABSTAINED</w:t>
                  </w:r>
                </w:p>
              </w:tc>
            </w:tr>
            <w:tr w:rsidR="007E1E11" w:rsidRPr="00293E08" w:rsidTr="009A2F8C">
              <w:trPr>
                <w:jc w:val="center"/>
              </w:trPr>
              <w:tc>
                <w:tcPr>
                  <w:tcW w:w="1129" w:type="dxa"/>
                </w:tcPr>
                <w:p w:rsidR="007E1E11" w:rsidRPr="00293E08" w:rsidRDefault="00C10CBB"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w:t>
                  </w:r>
                </w:p>
              </w:tc>
              <w:tc>
                <w:tcPr>
                  <w:tcW w:w="1843" w:type="dxa"/>
                </w:tcPr>
                <w:p w:rsidR="007E1E11" w:rsidRPr="00293E08" w:rsidRDefault="00A26978" w:rsidP="009D4283">
                  <w:pPr>
                    <w:pStyle w:val="a3"/>
                    <w:jc w:val="center"/>
                    <w:rPr>
                      <w:rFonts w:ascii="Times New Roman" w:hAnsi="Times New Roman" w:cs="Times New Roman"/>
                      <w:b/>
                      <w:sz w:val="26"/>
                      <w:szCs w:val="26"/>
                      <w:lang w:val="en-US"/>
                    </w:rPr>
                  </w:pPr>
                  <w:r w:rsidRPr="00293E08">
                    <w:rPr>
                      <w:rFonts w:ascii="Times New Roman" w:hAnsi="Times New Roman" w:cs="Times New Roman"/>
                      <w:b/>
                      <w:sz w:val="26"/>
                      <w:szCs w:val="26"/>
                    </w:rPr>
                    <w:t>1</w:t>
                  </w:r>
                  <w:r w:rsidR="009D4283" w:rsidRPr="00293E08">
                    <w:rPr>
                      <w:rFonts w:ascii="Times New Roman" w:hAnsi="Times New Roman" w:cs="Times New Roman"/>
                      <w:b/>
                      <w:sz w:val="26"/>
                      <w:szCs w:val="26"/>
                    </w:rPr>
                    <w:t>1</w:t>
                  </w:r>
                </w:p>
              </w:tc>
              <w:tc>
                <w:tcPr>
                  <w:tcW w:w="1985" w:type="dxa"/>
                </w:tcPr>
                <w:p w:rsidR="007E1E11" w:rsidRPr="00293E08" w:rsidRDefault="007E1E11" w:rsidP="006A7084">
                  <w:pPr>
                    <w:pStyle w:val="a3"/>
                    <w:jc w:val="center"/>
                    <w:rPr>
                      <w:rFonts w:ascii="Times New Roman" w:hAnsi="Times New Roman" w:cs="Times New Roman"/>
                      <w:b/>
                      <w:sz w:val="26"/>
                      <w:szCs w:val="26"/>
                    </w:rPr>
                  </w:pPr>
                </w:p>
              </w:tc>
              <w:tc>
                <w:tcPr>
                  <w:tcW w:w="2338" w:type="dxa"/>
                </w:tcPr>
                <w:p w:rsidR="007E1E11" w:rsidRPr="00293E08" w:rsidRDefault="007E1E11" w:rsidP="006A7084">
                  <w:pPr>
                    <w:pStyle w:val="a3"/>
                    <w:jc w:val="center"/>
                    <w:rPr>
                      <w:rFonts w:ascii="Times New Roman" w:hAnsi="Times New Roman" w:cs="Times New Roman"/>
                      <w:b/>
                      <w:sz w:val="26"/>
                      <w:szCs w:val="26"/>
                    </w:rPr>
                  </w:pPr>
                </w:p>
              </w:tc>
            </w:tr>
            <w:tr w:rsidR="00736D93" w:rsidRPr="00293E08" w:rsidTr="009A2F8C">
              <w:trPr>
                <w:jc w:val="center"/>
              </w:trPr>
              <w:tc>
                <w:tcPr>
                  <w:tcW w:w="1129" w:type="dxa"/>
                </w:tcPr>
                <w:p w:rsidR="00736D93" w:rsidRPr="00293E08" w:rsidRDefault="00736D93"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2</w:t>
                  </w:r>
                </w:p>
              </w:tc>
              <w:tc>
                <w:tcPr>
                  <w:tcW w:w="1843" w:type="dxa"/>
                </w:tcPr>
                <w:p w:rsidR="00736D93" w:rsidRPr="00293E08" w:rsidRDefault="00736D93" w:rsidP="009D4283">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11</w:t>
                  </w:r>
                </w:p>
              </w:tc>
              <w:tc>
                <w:tcPr>
                  <w:tcW w:w="1985" w:type="dxa"/>
                </w:tcPr>
                <w:p w:rsidR="00736D93" w:rsidRPr="00293E08" w:rsidRDefault="00736D93" w:rsidP="006A7084">
                  <w:pPr>
                    <w:pStyle w:val="a3"/>
                    <w:jc w:val="center"/>
                    <w:rPr>
                      <w:rFonts w:ascii="Times New Roman" w:hAnsi="Times New Roman" w:cs="Times New Roman"/>
                      <w:b/>
                      <w:sz w:val="26"/>
                      <w:szCs w:val="26"/>
                    </w:rPr>
                  </w:pPr>
                </w:p>
              </w:tc>
              <w:tc>
                <w:tcPr>
                  <w:tcW w:w="2338" w:type="dxa"/>
                </w:tcPr>
                <w:p w:rsidR="00736D93" w:rsidRPr="00293E08" w:rsidRDefault="00736D93" w:rsidP="006A7084">
                  <w:pPr>
                    <w:pStyle w:val="a3"/>
                    <w:jc w:val="center"/>
                    <w:rPr>
                      <w:rFonts w:ascii="Times New Roman" w:hAnsi="Times New Roman" w:cs="Times New Roman"/>
                      <w:b/>
                      <w:sz w:val="26"/>
                      <w:szCs w:val="26"/>
                    </w:rPr>
                  </w:pPr>
                </w:p>
              </w:tc>
            </w:tr>
            <w:tr w:rsidR="00736D93" w:rsidRPr="00293E08" w:rsidTr="009A2F8C">
              <w:trPr>
                <w:jc w:val="center"/>
              </w:trPr>
              <w:tc>
                <w:tcPr>
                  <w:tcW w:w="1129" w:type="dxa"/>
                </w:tcPr>
                <w:p w:rsidR="00736D93" w:rsidRPr="00293E08" w:rsidRDefault="00736D93"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3</w:t>
                  </w:r>
                </w:p>
              </w:tc>
              <w:tc>
                <w:tcPr>
                  <w:tcW w:w="1843" w:type="dxa"/>
                </w:tcPr>
                <w:p w:rsidR="00736D93" w:rsidRPr="00293E08" w:rsidRDefault="00736D93" w:rsidP="009D4283">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11</w:t>
                  </w:r>
                </w:p>
              </w:tc>
              <w:tc>
                <w:tcPr>
                  <w:tcW w:w="1985" w:type="dxa"/>
                </w:tcPr>
                <w:p w:rsidR="00736D93" w:rsidRPr="00293E08" w:rsidRDefault="00736D93" w:rsidP="006A7084">
                  <w:pPr>
                    <w:pStyle w:val="a3"/>
                    <w:jc w:val="center"/>
                    <w:rPr>
                      <w:rFonts w:ascii="Times New Roman" w:hAnsi="Times New Roman" w:cs="Times New Roman"/>
                      <w:b/>
                      <w:sz w:val="26"/>
                      <w:szCs w:val="26"/>
                    </w:rPr>
                  </w:pPr>
                </w:p>
              </w:tc>
              <w:tc>
                <w:tcPr>
                  <w:tcW w:w="2338" w:type="dxa"/>
                </w:tcPr>
                <w:p w:rsidR="00736D93" w:rsidRPr="00293E08" w:rsidRDefault="00736D93" w:rsidP="006A7084">
                  <w:pPr>
                    <w:pStyle w:val="a3"/>
                    <w:jc w:val="center"/>
                    <w:rPr>
                      <w:rFonts w:ascii="Times New Roman" w:hAnsi="Times New Roman" w:cs="Times New Roman"/>
                      <w:b/>
                      <w:sz w:val="26"/>
                      <w:szCs w:val="26"/>
                    </w:rPr>
                  </w:pPr>
                </w:p>
              </w:tc>
            </w:tr>
            <w:tr w:rsidR="00736D93" w:rsidRPr="00293E08" w:rsidTr="009A2F8C">
              <w:trPr>
                <w:jc w:val="center"/>
              </w:trPr>
              <w:tc>
                <w:tcPr>
                  <w:tcW w:w="1129" w:type="dxa"/>
                </w:tcPr>
                <w:p w:rsidR="00736D93" w:rsidRPr="00293E08" w:rsidRDefault="00736D93"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4</w:t>
                  </w:r>
                </w:p>
              </w:tc>
              <w:tc>
                <w:tcPr>
                  <w:tcW w:w="1843" w:type="dxa"/>
                </w:tcPr>
                <w:p w:rsidR="00736D93" w:rsidRPr="00293E08" w:rsidRDefault="00736D93" w:rsidP="009D4283">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11</w:t>
                  </w:r>
                </w:p>
              </w:tc>
              <w:tc>
                <w:tcPr>
                  <w:tcW w:w="1985" w:type="dxa"/>
                </w:tcPr>
                <w:p w:rsidR="00736D93" w:rsidRPr="00293E08" w:rsidRDefault="00736D93" w:rsidP="006A7084">
                  <w:pPr>
                    <w:pStyle w:val="a3"/>
                    <w:jc w:val="center"/>
                    <w:rPr>
                      <w:rFonts w:ascii="Times New Roman" w:hAnsi="Times New Roman" w:cs="Times New Roman"/>
                      <w:b/>
                      <w:sz w:val="26"/>
                      <w:szCs w:val="26"/>
                    </w:rPr>
                  </w:pPr>
                </w:p>
              </w:tc>
              <w:tc>
                <w:tcPr>
                  <w:tcW w:w="2338" w:type="dxa"/>
                </w:tcPr>
                <w:p w:rsidR="00736D93" w:rsidRPr="00293E08" w:rsidRDefault="00736D93" w:rsidP="006A7084">
                  <w:pPr>
                    <w:pStyle w:val="a3"/>
                    <w:jc w:val="center"/>
                    <w:rPr>
                      <w:rFonts w:ascii="Times New Roman" w:hAnsi="Times New Roman" w:cs="Times New Roman"/>
                      <w:b/>
                      <w:sz w:val="26"/>
                      <w:szCs w:val="26"/>
                    </w:rPr>
                  </w:pPr>
                </w:p>
              </w:tc>
            </w:tr>
            <w:tr w:rsidR="00736D93" w:rsidRPr="00293E08" w:rsidTr="009A2F8C">
              <w:trPr>
                <w:jc w:val="center"/>
              </w:trPr>
              <w:tc>
                <w:tcPr>
                  <w:tcW w:w="1129" w:type="dxa"/>
                </w:tcPr>
                <w:p w:rsidR="00736D93" w:rsidRPr="00293E08" w:rsidRDefault="00736D93"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5</w:t>
                  </w:r>
                </w:p>
              </w:tc>
              <w:tc>
                <w:tcPr>
                  <w:tcW w:w="1843" w:type="dxa"/>
                </w:tcPr>
                <w:p w:rsidR="00736D93" w:rsidRPr="00293E08" w:rsidRDefault="00736D93" w:rsidP="009D4283">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11</w:t>
                  </w:r>
                </w:p>
              </w:tc>
              <w:tc>
                <w:tcPr>
                  <w:tcW w:w="1985" w:type="dxa"/>
                </w:tcPr>
                <w:p w:rsidR="00736D93" w:rsidRPr="00293E08" w:rsidRDefault="00736D93" w:rsidP="006A7084">
                  <w:pPr>
                    <w:pStyle w:val="a3"/>
                    <w:jc w:val="center"/>
                    <w:rPr>
                      <w:rFonts w:ascii="Times New Roman" w:hAnsi="Times New Roman" w:cs="Times New Roman"/>
                      <w:b/>
                      <w:sz w:val="26"/>
                      <w:szCs w:val="26"/>
                    </w:rPr>
                  </w:pPr>
                </w:p>
              </w:tc>
              <w:tc>
                <w:tcPr>
                  <w:tcW w:w="2338" w:type="dxa"/>
                </w:tcPr>
                <w:p w:rsidR="00736D93" w:rsidRPr="00293E08" w:rsidRDefault="00736D93" w:rsidP="006A7084">
                  <w:pPr>
                    <w:pStyle w:val="a3"/>
                    <w:jc w:val="center"/>
                    <w:rPr>
                      <w:rFonts w:ascii="Times New Roman" w:hAnsi="Times New Roman" w:cs="Times New Roman"/>
                      <w:b/>
                      <w:sz w:val="26"/>
                      <w:szCs w:val="26"/>
                    </w:rPr>
                  </w:pPr>
                </w:p>
              </w:tc>
            </w:tr>
            <w:tr w:rsidR="00736D93" w:rsidRPr="00293E08" w:rsidTr="009A2F8C">
              <w:trPr>
                <w:jc w:val="center"/>
              </w:trPr>
              <w:tc>
                <w:tcPr>
                  <w:tcW w:w="1129" w:type="dxa"/>
                </w:tcPr>
                <w:p w:rsidR="00736D93" w:rsidRPr="00293E08" w:rsidRDefault="00736D93" w:rsidP="006A7084">
                  <w:pPr>
                    <w:pStyle w:val="a3"/>
                    <w:jc w:val="center"/>
                    <w:rPr>
                      <w:rFonts w:ascii="Times New Roman" w:hAnsi="Times New Roman" w:cs="Times New Roman"/>
                      <w:b/>
                      <w:sz w:val="26"/>
                      <w:szCs w:val="26"/>
                    </w:rPr>
                  </w:pPr>
                  <w:r w:rsidRPr="00293E08">
                    <w:rPr>
                      <w:rFonts w:ascii="Times New Roman" w:hAnsi="Times New Roman" w:cs="Times New Roman"/>
                      <w:b/>
                      <w:sz w:val="26"/>
                      <w:szCs w:val="26"/>
                    </w:rPr>
                    <w:t>6</w:t>
                  </w:r>
                </w:p>
              </w:tc>
              <w:tc>
                <w:tcPr>
                  <w:tcW w:w="1843" w:type="dxa"/>
                </w:tcPr>
                <w:p w:rsidR="00736D93" w:rsidRPr="00293E08" w:rsidRDefault="00736D93" w:rsidP="009D4283">
                  <w:pPr>
                    <w:pStyle w:val="a3"/>
                    <w:jc w:val="center"/>
                    <w:rPr>
                      <w:rFonts w:ascii="Times New Roman" w:hAnsi="Times New Roman" w:cs="Times New Roman"/>
                      <w:b/>
                      <w:sz w:val="26"/>
                      <w:szCs w:val="26"/>
                    </w:rPr>
                  </w:pPr>
                  <w:r w:rsidRPr="00293E08">
                    <w:rPr>
                      <w:rFonts w:ascii="Times New Roman" w:hAnsi="Times New Roman" w:cs="Times New Roman"/>
                      <w:b/>
                      <w:sz w:val="26"/>
                      <w:szCs w:val="26"/>
                    </w:rPr>
                    <w:t>11</w:t>
                  </w:r>
                </w:p>
              </w:tc>
              <w:tc>
                <w:tcPr>
                  <w:tcW w:w="1985" w:type="dxa"/>
                </w:tcPr>
                <w:p w:rsidR="00736D93" w:rsidRPr="00293E08" w:rsidRDefault="00736D93" w:rsidP="006A7084">
                  <w:pPr>
                    <w:pStyle w:val="a3"/>
                    <w:jc w:val="center"/>
                    <w:rPr>
                      <w:rFonts w:ascii="Times New Roman" w:hAnsi="Times New Roman" w:cs="Times New Roman"/>
                      <w:b/>
                      <w:sz w:val="26"/>
                      <w:szCs w:val="26"/>
                    </w:rPr>
                  </w:pPr>
                </w:p>
              </w:tc>
              <w:tc>
                <w:tcPr>
                  <w:tcW w:w="2338" w:type="dxa"/>
                </w:tcPr>
                <w:p w:rsidR="00736D93" w:rsidRPr="00293E08" w:rsidRDefault="00736D93" w:rsidP="006A7084">
                  <w:pPr>
                    <w:pStyle w:val="a3"/>
                    <w:jc w:val="center"/>
                    <w:rPr>
                      <w:rFonts w:ascii="Times New Roman" w:hAnsi="Times New Roman" w:cs="Times New Roman"/>
                      <w:b/>
                      <w:sz w:val="26"/>
                      <w:szCs w:val="26"/>
                    </w:rPr>
                  </w:pPr>
                </w:p>
              </w:tc>
            </w:tr>
          </w:tbl>
          <w:p w:rsidR="004D0A6C" w:rsidRPr="00293E08" w:rsidRDefault="004D0A6C" w:rsidP="001C064D">
            <w:pPr>
              <w:pStyle w:val="a3"/>
              <w:jc w:val="both"/>
              <w:rPr>
                <w:rFonts w:ascii="Times New Roman" w:hAnsi="Times New Roman" w:cs="Times New Roman"/>
                <w:sz w:val="26"/>
                <w:szCs w:val="26"/>
              </w:rPr>
            </w:pPr>
          </w:p>
        </w:tc>
      </w:tr>
      <w:tr w:rsidR="004D0A6C" w:rsidRPr="00293E08" w:rsidTr="0051482D">
        <w:tc>
          <w:tcPr>
            <w:tcW w:w="10348" w:type="dxa"/>
            <w:gridSpan w:val="2"/>
          </w:tcPr>
          <w:p w:rsidR="006538FF" w:rsidRPr="00293E08" w:rsidRDefault="0005580F" w:rsidP="006538FF">
            <w:pPr>
              <w:jc w:val="center"/>
              <w:rPr>
                <w:b/>
                <w:color w:val="000000" w:themeColor="text1"/>
                <w:sz w:val="26"/>
                <w:szCs w:val="26"/>
                <w:lang w:val="en-US" w:eastAsia="en-US"/>
              </w:rPr>
            </w:pPr>
            <w:r w:rsidRPr="00293E08">
              <w:rPr>
                <w:b/>
                <w:color w:val="000000" w:themeColor="text1"/>
                <w:sz w:val="26"/>
                <w:szCs w:val="26"/>
                <w:lang w:val="en-US" w:eastAsia="en-US"/>
              </w:rPr>
              <w:t>Disclosure of insider information</w:t>
            </w:r>
            <w:r w:rsidR="00E968BA" w:rsidRPr="00293E08">
              <w:rPr>
                <w:b/>
                <w:color w:val="000000" w:themeColor="text1"/>
                <w:sz w:val="26"/>
                <w:szCs w:val="26"/>
                <w:lang w:val="en-US" w:eastAsia="en-US"/>
              </w:rPr>
              <w:t xml:space="preserve"> </w:t>
            </w:r>
          </w:p>
          <w:p w:rsidR="004D0A6C" w:rsidRPr="00293E08" w:rsidRDefault="0005580F" w:rsidP="006634C5">
            <w:pPr>
              <w:jc w:val="center"/>
              <w:rPr>
                <w:b/>
                <w:sz w:val="26"/>
                <w:szCs w:val="26"/>
                <w:lang w:val="en-US"/>
              </w:rPr>
            </w:pPr>
            <w:r w:rsidRPr="00293E08">
              <w:rPr>
                <w:b/>
                <w:color w:val="000000" w:themeColor="text1"/>
                <w:sz w:val="26"/>
                <w:szCs w:val="26"/>
                <w:lang w:val="en-US" w:eastAsia="en-US"/>
              </w:rPr>
              <w:t xml:space="preserve">Item No. 1 </w:t>
            </w:r>
            <w:r w:rsidRPr="00293E08">
              <w:rPr>
                <w:b/>
                <w:sz w:val="26"/>
                <w:szCs w:val="26"/>
                <w:lang w:val="en-US"/>
              </w:rPr>
              <w:t>“</w:t>
            </w:r>
            <w:r w:rsidR="00736D93" w:rsidRPr="00293E08">
              <w:rPr>
                <w:b/>
                <w:sz w:val="26"/>
                <w:szCs w:val="26"/>
                <w:lang w:val="en-US" w:eastAsia="en-US"/>
              </w:rPr>
              <w:t>Approval of a report on observance of the key performance indicators (KPI) of the Company’s Director General in the 3</w:t>
            </w:r>
            <w:r w:rsidR="00736D93" w:rsidRPr="00293E08">
              <w:rPr>
                <w:b/>
                <w:sz w:val="26"/>
                <w:szCs w:val="26"/>
                <w:vertAlign w:val="superscript"/>
                <w:lang w:val="en-US" w:eastAsia="en-US"/>
              </w:rPr>
              <w:t>rd</w:t>
            </w:r>
            <w:r w:rsidR="00736D93" w:rsidRPr="00293E08">
              <w:rPr>
                <w:b/>
                <w:sz w:val="26"/>
                <w:szCs w:val="26"/>
                <w:lang w:val="en-US" w:eastAsia="en-US"/>
              </w:rPr>
              <w:t xml:space="preserve"> quarter of 201</w:t>
            </w:r>
            <w:r w:rsidR="006634C5">
              <w:rPr>
                <w:b/>
                <w:sz w:val="26"/>
                <w:szCs w:val="26"/>
                <w:lang w:val="en-US" w:eastAsia="en-US"/>
              </w:rPr>
              <w:t>8</w:t>
            </w:r>
            <w:r w:rsidRPr="00293E08">
              <w:rPr>
                <w:b/>
                <w:sz w:val="26"/>
                <w:szCs w:val="26"/>
                <w:lang w:val="en-US"/>
              </w:rPr>
              <w:t>”</w:t>
            </w:r>
          </w:p>
        </w:tc>
      </w:tr>
      <w:tr w:rsidR="00471361" w:rsidRPr="00293E08" w:rsidTr="0051482D">
        <w:trPr>
          <w:trHeight w:val="544"/>
        </w:trPr>
        <w:tc>
          <w:tcPr>
            <w:tcW w:w="10348" w:type="dxa"/>
            <w:gridSpan w:val="2"/>
          </w:tcPr>
          <w:p w:rsidR="003054EE" w:rsidRPr="00293E08" w:rsidRDefault="0005580F" w:rsidP="00AF384B">
            <w:pPr>
              <w:pStyle w:val="a3"/>
              <w:rPr>
                <w:rFonts w:ascii="Times New Roman" w:hAnsi="Times New Roman" w:cs="Times New Roman"/>
                <w:sz w:val="26"/>
                <w:szCs w:val="26"/>
                <w:lang w:val="en-US"/>
              </w:rPr>
            </w:pPr>
            <w:r w:rsidRPr="00293E08">
              <w:rPr>
                <w:rFonts w:ascii="Times New Roman" w:hAnsi="Times New Roman" w:cs="Times New Roman"/>
                <w:color w:val="000000" w:themeColor="text1"/>
                <w:sz w:val="26"/>
                <w:szCs w:val="26"/>
                <w:lang w:val="en-US"/>
              </w:rPr>
              <w:t>2.2.1.  Decision adopted by the issuer’s Board of Directors</w:t>
            </w:r>
            <w:r w:rsidR="00471361" w:rsidRPr="00293E08">
              <w:rPr>
                <w:rFonts w:ascii="Times New Roman" w:hAnsi="Times New Roman" w:cs="Times New Roman"/>
                <w:sz w:val="26"/>
                <w:szCs w:val="26"/>
                <w:lang w:val="en-US"/>
              </w:rPr>
              <w:t>:</w:t>
            </w:r>
          </w:p>
          <w:p w:rsidR="009D4283" w:rsidRDefault="00842A27" w:rsidP="000A1BE9">
            <w:pPr>
              <w:pStyle w:val="a3"/>
              <w:numPr>
                <w:ilvl w:val="0"/>
                <w:numId w:val="13"/>
              </w:numPr>
              <w:ind w:left="0" w:firstLine="360"/>
              <w:jc w:val="both"/>
              <w:rPr>
                <w:rFonts w:ascii="Times New Roman" w:hAnsi="Times New Roman" w:cs="Times New Roman"/>
                <w:sz w:val="26"/>
                <w:szCs w:val="26"/>
                <w:lang w:val="en-US"/>
              </w:rPr>
            </w:pPr>
            <w:r w:rsidRPr="00842A27">
              <w:rPr>
                <w:rFonts w:ascii="Times New Roman" w:hAnsi="Times New Roman" w:cs="Times New Roman"/>
                <w:sz w:val="26"/>
                <w:szCs w:val="26"/>
                <w:lang w:val="en-US"/>
              </w:rPr>
              <w:t>In order to bring it to comparability in terms of the list of exclud</w:t>
            </w:r>
            <w:r>
              <w:rPr>
                <w:rFonts w:ascii="Times New Roman" w:hAnsi="Times New Roman" w:cs="Times New Roman"/>
                <w:sz w:val="26"/>
                <w:szCs w:val="26"/>
                <w:lang w:val="en-US"/>
              </w:rPr>
              <w:t>able</w:t>
            </w:r>
            <w:r w:rsidRPr="00842A27">
              <w:rPr>
                <w:rFonts w:ascii="Times New Roman" w:hAnsi="Times New Roman" w:cs="Times New Roman"/>
                <w:sz w:val="26"/>
                <w:szCs w:val="26"/>
                <w:lang w:val="en-US"/>
              </w:rPr>
              <w:t xml:space="preserve"> external factors </w:t>
            </w:r>
            <w:r>
              <w:rPr>
                <w:rFonts w:ascii="Times New Roman" w:hAnsi="Times New Roman" w:cs="Times New Roman"/>
                <w:sz w:val="26"/>
                <w:szCs w:val="26"/>
                <w:lang w:val="en-US"/>
              </w:rPr>
              <w:t>on</w:t>
            </w:r>
            <w:r w:rsidRPr="00842A27">
              <w:rPr>
                <w:rFonts w:ascii="Times New Roman" w:hAnsi="Times New Roman" w:cs="Times New Roman"/>
                <w:sz w:val="26"/>
                <w:szCs w:val="26"/>
                <w:lang w:val="en-US"/>
              </w:rPr>
              <w:t xml:space="preserve"> uncontrolled expenses, taken into account </w:t>
            </w:r>
            <w:r>
              <w:rPr>
                <w:rFonts w:ascii="Times New Roman" w:hAnsi="Times New Roman" w:cs="Times New Roman"/>
                <w:sz w:val="26"/>
                <w:szCs w:val="26"/>
                <w:lang w:val="en-US"/>
              </w:rPr>
              <w:t>when</w:t>
            </w:r>
            <w:r w:rsidRPr="00842A27">
              <w:rPr>
                <w:rFonts w:ascii="Times New Roman" w:hAnsi="Times New Roman" w:cs="Times New Roman"/>
                <w:sz w:val="26"/>
                <w:szCs w:val="26"/>
                <w:lang w:val="en-US"/>
              </w:rPr>
              <w:t xml:space="preserve"> calculating the KPI “Consolidated Net Debt</w:t>
            </w:r>
            <w:r>
              <w:rPr>
                <w:rFonts w:ascii="Times New Roman" w:hAnsi="Times New Roman" w:cs="Times New Roman"/>
                <w:sz w:val="26"/>
                <w:szCs w:val="26"/>
                <w:lang w:val="en-US"/>
              </w:rPr>
              <w:t>/</w:t>
            </w:r>
            <w:r w:rsidRPr="00842A27">
              <w:rPr>
                <w:rFonts w:ascii="Times New Roman" w:hAnsi="Times New Roman" w:cs="Times New Roman"/>
                <w:sz w:val="26"/>
                <w:szCs w:val="26"/>
                <w:lang w:val="en-US"/>
              </w:rPr>
              <w:t xml:space="preserve">EBITDA” and the KPI “Consolidated Operating Profit (EBITDA)”, </w:t>
            </w:r>
            <w:r>
              <w:rPr>
                <w:rFonts w:ascii="Times New Roman" w:hAnsi="Times New Roman" w:cs="Times New Roman"/>
                <w:sz w:val="26"/>
                <w:szCs w:val="26"/>
                <w:lang w:val="en-US"/>
              </w:rPr>
              <w:t>it is decided to read the</w:t>
            </w:r>
            <w:r w:rsidRPr="00842A27">
              <w:rPr>
                <w:rFonts w:ascii="Times New Roman" w:hAnsi="Times New Roman" w:cs="Times New Roman"/>
                <w:sz w:val="26"/>
                <w:szCs w:val="26"/>
                <w:lang w:val="en-US"/>
              </w:rPr>
              <w:t xml:space="preserve"> the target value of the KPI “Consolidated Net Debt</w:t>
            </w:r>
            <w:r>
              <w:rPr>
                <w:rFonts w:ascii="Times New Roman" w:hAnsi="Times New Roman" w:cs="Times New Roman"/>
                <w:sz w:val="26"/>
                <w:szCs w:val="26"/>
                <w:lang w:val="en-US"/>
              </w:rPr>
              <w:t>/</w:t>
            </w:r>
            <w:r w:rsidRPr="00842A27">
              <w:rPr>
                <w:rFonts w:ascii="Times New Roman" w:hAnsi="Times New Roman" w:cs="Times New Roman"/>
                <w:sz w:val="26"/>
                <w:szCs w:val="26"/>
                <w:lang w:val="en-US"/>
              </w:rPr>
              <w:t xml:space="preserve">EBITDA” </w:t>
            </w:r>
            <w:r>
              <w:rPr>
                <w:rFonts w:ascii="Times New Roman" w:hAnsi="Times New Roman" w:cs="Times New Roman"/>
                <w:sz w:val="26"/>
                <w:szCs w:val="26"/>
                <w:lang w:val="en-US"/>
              </w:rPr>
              <w:t>for the</w:t>
            </w:r>
            <w:r w:rsidRPr="00842A27">
              <w:rPr>
                <w:rFonts w:ascii="Times New Roman" w:hAnsi="Times New Roman" w:cs="Times New Roman"/>
                <w:sz w:val="26"/>
                <w:szCs w:val="26"/>
                <w:lang w:val="en-US"/>
              </w:rPr>
              <w:t xml:space="preserve"> </w:t>
            </w:r>
            <w:r>
              <w:rPr>
                <w:rFonts w:ascii="Times New Roman" w:hAnsi="Times New Roman" w:cs="Times New Roman"/>
                <w:sz w:val="26"/>
                <w:szCs w:val="26"/>
                <w:lang w:val="en-US"/>
              </w:rPr>
              <w:t>3</w:t>
            </w:r>
            <w:r w:rsidRPr="00842A27">
              <w:rPr>
                <w:rFonts w:ascii="Times New Roman" w:hAnsi="Times New Roman" w:cs="Times New Roman"/>
                <w:sz w:val="26"/>
                <w:szCs w:val="26"/>
                <w:vertAlign w:val="superscript"/>
                <w:lang w:val="en-US"/>
              </w:rPr>
              <w:t>rd</w:t>
            </w:r>
            <w:r>
              <w:rPr>
                <w:rFonts w:ascii="Times New Roman" w:hAnsi="Times New Roman" w:cs="Times New Roman"/>
                <w:sz w:val="26"/>
                <w:szCs w:val="26"/>
                <w:lang w:val="en-US"/>
              </w:rPr>
              <w:t xml:space="preserve"> quarter of</w:t>
            </w:r>
            <w:r w:rsidRPr="00842A27">
              <w:rPr>
                <w:rFonts w:ascii="Times New Roman" w:hAnsi="Times New Roman" w:cs="Times New Roman"/>
                <w:sz w:val="26"/>
                <w:szCs w:val="26"/>
                <w:lang w:val="en-US"/>
              </w:rPr>
              <w:t xml:space="preserve"> 2018, approved by the decision of the Board of Directors of the Company </w:t>
            </w:r>
            <w:r>
              <w:rPr>
                <w:rFonts w:ascii="Times New Roman" w:hAnsi="Times New Roman" w:cs="Times New Roman"/>
                <w:sz w:val="26"/>
                <w:szCs w:val="26"/>
                <w:lang w:val="en-US"/>
              </w:rPr>
              <w:t>on 30.07.2018 (minutes No.</w:t>
            </w:r>
            <w:r w:rsidRPr="00842A27">
              <w:rPr>
                <w:rFonts w:ascii="Times New Roman" w:hAnsi="Times New Roman" w:cs="Times New Roman"/>
                <w:sz w:val="26"/>
                <w:szCs w:val="26"/>
                <w:lang w:val="en-US"/>
              </w:rPr>
              <w:t>315/2018</w:t>
            </w:r>
            <w:r>
              <w:rPr>
                <w:rFonts w:ascii="Times New Roman" w:hAnsi="Times New Roman" w:cs="Times New Roman"/>
                <w:sz w:val="26"/>
                <w:szCs w:val="26"/>
                <w:lang w:val="en-US"/>
              </w:rPr>
              <w:t xml:space="preserve"> of 31.07.2018</w:t>
            </w:r>
            <w:r w:rsidRPr="00842A27">
              <w:rPr>
                <w:rFonts w:ascii="Times New Roman" w:hAnsi="Times New Roman" w:cs="Times New Roman"/>
                <w:sz w:val="26"/>
                <w:szCs w:val="26"/>
                <w:lang w:val="en-US"/>
              </w:rPr>
              <w:t xml:space="preserve">) on the </w:t>
            </w:r>
            <w:r>
              <w:rPr>
                <w:rFonts w:ascii="Times New Roman" w:hAnsi="Times New Roman" w:cs="Times New Roman"/>
                <w:sz w:val="26"/>
                <w:szCs w:val="26"/>
                <w:lang w:val="en-US"/>
              </w:rPr>
              <w:t>agenda item</w:t>
            </w:r>
            <w:r w:rsidRPr="00842A27">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842A27">
              <w:rPr>
                <w:rFonts w:ascii="Times New Roman" w:hAnsi="Times New Roman" w:cs="Times New Roman"/>
                <w:sz w:val="26"/>
                <w:szCs w:val="26"/>
                <w:lang w:val="en-US"/>
              </w:rPr>
              <w:t>pproval of target values ​​of KPIs of the Director General of Kubanen</w:t>
            </w:r>
            <w:r>
              <w:rPr>
                <w:rFonts w:ascii="Times New Roman" w:hAnsi="Times New Roman" w:cs="Times New Roman"/>
                <w:sz w:val="26"/>
                <w:szCs w:val="26"/>
                <w:lang w:val="en-US"/>
              </w:rPr>
              <w:t>ergo</w:t>
            </w:r>
            <w:r w:rsidRPr="00842A27">
              <w:rPr>
                <w:rFonts w:ascii="Times New Roman" w:hAnsi="Times New Roman" w:cs="Times New Roman"/>
                <w:sz w:val="26"/>
                <w:szCs w:val="26"/>
                <w:lang w:val="en-US"/>
              </w:rPr>
              <w:t xml:space="preserve"> PJSC for 2018</w:t>
            </w:r>
            <w:r>
              <w:rPr>
                <w:rFonts w:ascii="Times New Roman" w:hAnsi="Times New Roman" w:cs="Times New Roman"/>
                <w:sz w:val="26"/>
                <w:szCs w:val="26"/>
                <w:lang w:val="en-US"/>
              </w:rPr>
              <w:t>”</w:t>
            </w:r>
            <w:r w:rsidRPr="00842A27">
              <w:rPr>
                <w:rFonts w:ascii="Times New Roman" w:hAnsi="Times New Roman" w:cs="Times New Roman"/>
                <w:sz w:val="26"/>
                <w:szCs w:val="26"/>
                <w:lang w:val="en-US"/>
              </w:rPr>
              <w:t xml:space="preserve">, as </w:t>
            </w:r>
            <w:r>
              <w:rPr>
                <w:rFonts w:ascii="Times New Roman" w:hAnsi="Times New Roman" w:cs="Times New Roman"/>
                <w:sz w:val="26"/>
                <w:szCs w:val="26"/>
                <w:lang w:val="en-US"/>
              </w:rPr>
              <w:t>follows: “</w:t>
            </w:r>
            <w:r w:rsidRPr="00842A27">
              <w:rPr>
                <w:rFonts w:ascii="Times New Roman" w:hAnsi="Times New Roman" w:cs="Times New Roman"/>
                <w:sz w:val="26"/>
                <w:szCs w:val="26"/>
                <w:lang w:val="en-US"/>
              </w:rPr>
              <w:t>≤ 3.1</w:t>
            </w:r>
            <w:r>
              <w:rPr>
                <w:rFonts w:ascii="Times New Roman" w:hAnsi="Times New Roman" w:cs="Times New Roman"/>
                <w:sz w:val="26"/>
                <w:szCs w:val="26"/>
                <w:lang w:val="en-US"/>
              </w:rPr>
              <w:t>”</w:t>
            </w:r>
            <w:r w:rsidRPr="00842A27">
              <w:rPr>
                <w:rFonts w:ascii="Times New Roman" w:hAnsi="Times New Roman" w:cs="Times New Roman"/>
                <w:sz w:val="26"/>
                <w:szCs w:val="26"/>
                <w:lang w:val="en-US"/>
              </w:rPr>
              <w:t>.</w:t>
            </w:r>
          </w:p>
          <w:p w:rsidR="00842A27" w:rsidRDefault="006634C5" w:rsidP="000A1BE9">
            <w:pPr>
              <w:pStyle w:val="a3"/>
              <w:numPr>
                <w:ilvl w:val="0"/>
                <w:numId w:val="13"/>
              </w:numPr>
              <w:ind w:left="0" w:firstLine="360"/>
              <w:jc w:val="both"/>
              <w:rPr>
                <w:rFonts w:ascii="Times New Roman" w:hAnsi="Times New Roman" w:cs="Times New Roman"/>
                <w:sz w:val="26"/>
                <w:szCs w:val="26"/>
                <w:lang w:val="en-US"/>
              </w:rPr>
            </w:pPr>
            <w:r w:rsidRPr="006634C5">
              <w:rPr>
                <w:rFonts w:ascii="Times New Roman" w:hAnsi="Times New Roman" w:cs="Times New Roman"/>
                <w:sz w:val="26"/>
                <w:szCs w:val="26"/>
                <w:lang w:val="en-US"/>
              </w:rPr>
              <w:t>To approve the Report on the implementation of key performance indicators (KPIs) of the Company</w:t>
            </w:r>
            <w:r>
              <w:rPr>
                <w:rFonts w:ascii="Times New Roman" w:hAnsi="Times New Roman" w:cs="Times New Roman"/>
                <w:sz w:val="26"/>
                <w:szCs w:val="26"/>
                <w:lang w:val="en-US"/>
              </w:rPr>
              <w:t xml:space="preserve"> </w:t>
            </w:r>
            <w:r w:rsidRPr="00842A27">
              <w:rPr>
                <w:rFonts w:ascii="Times New Roman" w:hAnsi="Times New Roman" w:cs="Times New Roman"/>
                <w:sz w:val="26"/>
                <w:szCs w:val="26"/>
                <w:lang w:val="en-US"/>
              </w:rPr>
              <w:t>Director General</w:t>
            </w:r>
            <w:r w:rsidRPr="006634C5">
              <w:rPr>
                <w:rFonts w:ascii="Times New Roman" w:hAnsi="Times New Roman" w:cs="Times New Roman"/>
                <w:sz w:val="26"/>
                <w:szCs w:val="26"/>
                <w:lang w:val="en-US"/>
              </w:rPr>
              <w:t xml:space="preserve"> for the 3</w:t>
            </w:r>
            <w:r w:rsidRPr="006634C5">
              <w:rPr>
                <w:rFonts w:ascii="Times New Roman" w:hAnsi="Times New Roman" w:cs="Times New Roman"/>
                <w:sz w:val="26"/>
                <w:szCs w:val="26"/>
                <w:vertAlign w:val="superscript"/>
                <w:lang w:val="en-US"/>
              </w:rPr>
              <w:t>rd</w:t>
            </w:r>
            <w:r>
              <w:rPr>
                <w:rFonts w:ascii="Times New Roman" w:hAnsi="Times New Roman" w:cs="Times New Roman"/>
                <w:sz w:val="26"/>
                <w:szCs w:val="26"/>
                <w:lang w:val="en-US"/>
              </w:rPr>
              <w:t xml:space="preserve"> </w:t>
            </w:r>
            <w:r w:rsidRPr="006634C5">
              <w:rPr>
                <w:rFonts w:ascii="Times New Roman" w:hAnsi="Times New Roman" w:cs="Times New Roman"/>
                <w:sz w:val="26"/>
                <w:szCs w:val="26"/>
                <w:lang w:val="en-US"/>
              </w:rPr>
              <w:t>quarter of 2</w:t>
            </w:r>
            <w:r w:rsidR="00803601">
              <w:rPr>
                <w:rFonts w:ascii="Times New Roman" w:hAnsi="Times New Roman" w:cs="Times New Roman"/>
                <w:sz w:val="26"/>
                <w:szCs w:val="26"/>
                <w:lang w:val="en-US"/>
              </w:rPr>
              <w:t xml:space="preserve">018 in accordance with Appendix </w:t>
            </w:r>
            <w:r w:rsidRPr="006634C5">
              <w:rPr>
                <w:rFonts w:ascii="Times New Roman" w:hAnsi="Times New Roman" w:cs="Times New Roman"/>
                <w:sz w:val="26"/>
                <w:szCs w:val="26"/>
                <w:lang w:val="en-US"/>
              </w:rPr>
              <w:t>1 to this decision of the Board of Directors of the Company</w:t>
            </w:r>
            <w:r>
              <w:rPr>
                <w:rFonts w:ascii="Times New Roman" w:hAnsi="Times New Roman" w:cs="Times New Roman"/>
                <w:sz w:val="26"/>
                <w:szCs w:val="26"/>
                <w:lang w:val="en-US"/>
              </w:rPr>
              <w:t>.</w:t>
            </w:r>
          </w:p>
          <w:p w:rsidR="006634C5" w:rsidRPr="00293E08" w:rsidRDefault="000A1BE9" w:rsidP="000A1BE9">
            <w:pPr>
              <w:pStyle w:val="a3"/>
              <w:numPr>
                <w:ilvl w:val="0"/>
                <w:numId w:val="13"/>
              </w:numPr>
              <w:ind w:left="0" w:firstLine="360"/>
              <w:jc w:val="both"/>
              <w:rPr>
                <w:rFonts w:ascii="Times New Roman" w:hAnsi="Times New Roman" w:cs="Times New Roman"/>
                <w:sz w:val="26"/>
                <w:szCs w:val="26"/>
                <w:lang w:val="en-US"/>
              </w:rPr>
            </w:pPr>
            <w:r w:rsidRPr="000A1BE9">
              <w:rPr>
                <w:rFonts w:ascii="Times New Roman" w:hAnsi="Times New Roman" w:cs="Times New Roman"/>
                <w:sz w:val="26"/>
                <w:szCs w:val="26"/>
                <w:lang w:val="en-US"/>
              </w:rPr>
              <w:t xml:space="preserve">Authorize </w:t>
            </w:r>
            <w:r>
              <w:rPr>
                <w:rFonts w:ascii="Times New Roman" w:hAnsi="Times New Roman" w:cs="Times New Roman"/>
                <w:sz w:val="26"/>
                <w:szCs w:val="26"/>
                <w:lang w:val="en-US"/>
              </w:rPr>
              <w:t xml:space="preserve">Olga Sergeyeva, </w:t>
            </w:r>
            <w:r w:rsidRPr="000A1BE9">
              <w:rPr>
                <w:rFonts w:ascii="Times New Roman" w:hAnsi="Times New Roman" w:cs="Times New Roman"/>
                <w:sz w:val="26"/>
                <w:szCs w:val="26"/>
                <w:lang w:val="en-US"/>
              </w:rPr>
              <w:t>the Chief Advisor to Rosseti</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PJSC</w:t>
            </w:r>
            <w:r>
              <w:rPr>
                <w:rFonts w:ascii="Times New Roman" w:hAnsi="Times New Roman" w:cs="Times New Roman"/>
                <w:sz w:val="26"/>
                <w:szCs w:val="26"/>
                <w:lang w:val="en-US"/>
              </w:rPr>
              <w:t>,</w:t>
            </w:r>
            <w:r w:rsidRPr="000A1BE9">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0A1BE9">
              <w:rPr>
                <w:rFonts w:ascii="Times New Roman" w:hAnsi="Times New Roman" w:cs="Times New Roman"/>
                <w:sz w:val="26"/>
                <w:szCs w:val="26"/>
                <w:lang w:val="en-US"/>
              </w:rPr>
              <w:t xml:space="preserve"> implement</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 xml:space="preserve">actions </w:t>
            </w:r>
            <w:r>
              <w:rPr>
                <w:rFonts w:ascii="Times New Roman" w:hAnsi="Times New Roman" w:cs="Times New Roman"/>
                <w:sz w:val="26"/>
                <w:szCs w:val="26"/>
                <w:lang w:val="en-US"/>
              </w:rPr>
              <w:t>stipulated in</w:t>
            </w:r>
            <w:r w:rsidRPr="000A1BE9">
              <w:rPr>
                <w:rFonts w:ascii="Times New Roman" w:hAnsi="Times New Roman" w:cs="Times New Roman"/>
                <w:sz w:val="26"/>
                <w:szCs w:val="26"/>
                <w:lang w:val="en-US"/>
              </w:rPr>
              <w:t xml:space="preserve"> paragraphs 5.2</w:t>
            </w:r>
            <w:r>
              <w:rPr>
                <w:rFonts w:ascii="Times New Roman" w:hAnsi="Times New Roman" w:cs="Times New Roman"/>
                <w:sz w:val="26"/>
                <w:szCs w:val="26"/>
                <w:lang w:val="en-US"/>
              </w:rPr>
              <w:t xml:space="preserve"> and</w:t>
            </w:r>
            <w:r w:rsidRPr="000A1BE9">
              <w:rPr>
                <w:rFonts w:ascii="Times New Roman" w:hAnsi="Times New Roman" w:cs="Times New Roman"/>
                <w:sz w:val="26"/>
                <w:szCs w:val="26"/>
                <w:lang w:val="en-US"/>
              </w:rPr>
              <w:t xml:space="preserve"> 5.3 of the Regulation</w:t>
            </w:r>
            <w:r>
              <w:rPr>
                <w:rFonts w:ascii="Times New Roman" w:hAnsi="Times New Roman" w:cs="Times New Roman"/>
                <w:sz w:val="26"/>
                <w:szCs w:val="26"/>
                <w:lang w:val="en-US"/>
              </w:rPr>
              <w:t>s</w:t>
            </w:r>
            <w:r w:rsidRPr="000A1BE9">
              <w:rPr>
                <w:rFonts w:ascii="Times New Roman" w:hAnsi="Times New Roman" w:cs="Times New Roman"/>
                <w:sz w:val="26"/>
                <w:szCs w:val="26"/>
                <w:lang w:val="en-US"/>
              </w:rPr>
              <w:t xml:space="preserve"> on material incentives for the Director General of the Company when making decisions on payment of bonuses to the Director General of the Company for the 3</w:t>
            </w:r>
            <w:r w:rsidRPr="000A1BE9">
              <w:rPr>
                <w:rFonts w:ascii="Times New Roman" w:hAnsi="Times New Roman" w:cs="Times New Roman"/>
                <w:sz w:val="26"/>
                <w:szCs w:val="26"/>
                <w:vertAlign w:val="superscript"/>
                <w:lang w:val="en-US"/>
              </w:rPr>
              <w:t>rd</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and 4</w:t>
            </w:r>
            <w:r w:rsidRPr="000A1BE9">
              <w:rPr>
                <w:rFonts w:ascii="Times New Roman" w:hAnsi="Times New Roman" w:cs="Times New Roman"/>
                <w:sz w:val="26"/>
                <w:szCs w:val="26"/>
                <w:vertAlign w:val="superscript"/>
                <w:lang w:val="en-US"/>
              </w:rPr>
              <w:t>th</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quarters of 2018, 2018, 1</w:t>
            </w:r>
            <w:r w:rsidRPr="000A1BE9">
              <w:rPr>
                <w:rFonts w:ascii="Times New Roman" w:hAnsi="Times New Roman" w:cs="Times New Roman"/>
                <w:sz w:val="26"/>
                <w:szCs w:val="26"/>
                <w:vertAlign w:val="superscript"/>
                <w:lang w:val="en-US"/>
              </w:rPr>
              <w:t>st</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and 2</w:t>
            </w:r>
            <w:r w:rsidRPr="000A1BE9">
              <w:rPr>
                <w:rFonts w:ascii="Times New Roman" w:hAnsi="Times New Roman" w:cs="Times New Roman"/>
                <w:sz w:val="26"/>
                <w:szCs w:val="26"/>
                <w:vertAlign w:val="superscript"/>
                <w:lang w:val="en-US"/>
              </w:rPr>
              <w:t>nd</w:t>
            </w:r>
            <w:r>
              <w:rPr>
                <w:rFonts w:ascii="Times New Roman" w:hAnsi="Times New Roman" w:cs="Times New Roman"/>
                <w:sz w:val="26"/>
                <w:szCs w:val="26"/>
                <w:lang w:val="en-US"/>
              </w:rPr>
              <w:t xml:space="preserve"> </w:t>
            </w:r>
            <w:r w:rsidRPr="000A1BE9">
              <w:rPr>
                <w:rFonts w:ascii="Times New Roman" w:hAnsi="Times New Roman" w:cs="Times New Roman"/>
                <w:sz w:val="26"/>
                <w:szCs w:val="26"/>
                <w:lang w:val="en-US"/>
              </w:rPr>
              <w:t xml:space="preserve">quarters of 2019, </w:t>
            </w:r>
            <w:r>
              <w:rPr>
                <w:rFonts w:ascii="Times New Roman" w:hAnsi="Times New Roman" w:cs="Times New Roman"/>
                <w:sz w:val="26"/>
                <w:szCs w:val="26"/>
                <w:lang w:val="en-US"/>
              </w:rPr>
              <w:t>and 2019.</w:t>
            </w:r>
          </w:p>
        </w:tc>
      </w:tr>
      <w:tr w:rsidR="00736D93" w:rsidRPr="00293E08" w:rsidTr="0051482D">
        <w:trPr>
          <w:trHeight w:val="544"/>
        </w:trPr>
        <w:tc>
          <w:tcPr>
            <w:tcW w:w="10348" w:type="dxa"/>
            <w:gridSpan w:val="2"/>
          </w:tcPr>
          <w:p w:rsidR="00736D93" w:rsidRPr="00293E08" w:rsidRDefault="00736D93" w:rsidP="00736D93">
            <w:pPr>
              <w:jc w:val="center"/>
              <w:rPr>
                <w:b/>
                <w:color w:val="000000" w:themeColor="text1"/>
                <w:sz w:val="26"/>
                <w:szCs w:val="26"/>
                <w:lang w:val="en-US" w:eastAsia="en-US"/>
              </w:rPr>
            </w:pPr>
            <w:r w:rsidRPr="00293E08">
              <w:rPr>
                <w:b/>
                <w:color w:val="000000" w:themeColor="text1"/>
                <w:sz w:val="26"/>
                <w:szCs w:val="26"/>
                <w:lang w:val="en-US" w:eastAsia="en-US"/>
              </w:rPr>
              <w:lastRenderedPageBreak/>
              <w:t xml:space="preserve">Disclosure of insider information </w:t>
            </w:r>
          </w:p>
          <w:p w:rsidR="00736D93" w:rsidRPr="00293E08" w:rsidRDefault="00736D93" w:rsidP="00736D93">
            <w:pPr>
              <w:jc w:val="center"/>
              <w:rPr>
                <w:b/>
                <w:sz w:val="26"/>
                <w:szCs w:val="26"/>
                <w:lang w:val="en-US"/>
              </w:rPr>
            </w:pPr>
            <w:r w:rsidRPr="00293E08">
              <w:rPr>
                <w:b/>
                <w:color w:val="000000" w:themeColor="text1"/>
                <w:sz w:val="26"/>
                <w:szCs w:val="26"/>
                <w:lang w:val="en-US" w:eastAsia="en-US"/>
              </w:rPr>
              <w:t xml:space="preserve">Item No. </w:t>
            </w:r>
            <w:r w:rsidRPr="00293E08">
              <w:rPr>
                <w:b/>
                <w:color w:val="000000" w:themeColor="text1"/>
                <w:sz w:val="26"/>
                <w:szCs w:val="26"/>
                <w:lang w:val="en-US" w:eastAsia="en-US"/>
              </w:rPr>
              <w:t>2</w:t>
            </w:r>
            <w:r w:rsidRPr="00293E08">
              <w:rPr>
                <w:b/>
                <w:color w:val="000000" w:themeColor="text1"/>
                <w:sz w:val="26"/>
                <w:szCs w:val="26"/>
                <w:lang w:val="en-US" w:eastAsia="en-US"/>
              </w:rPr>
              <w:t xml:space="preserve"> </w:t>
            </w:r>
            <w:r w:rsidRPr="00293E08">
              <w:rPr>
                <w:b/>
                <w:sz w:val="26"/>
                <w:szCs w:val="26"/>
                <w:lang w:val="en-US"/>
              </w:rPr>
              <w:t>“</w:t>
            </w:r>
            <w:r w:rsidRPr="00293E08">
              <w:rPr>
                <w:b/>
                <w:sz w:val="26"/>
                <w:szCs w:val="26"/>
                <w:lang w:val="en-US" w:eastAsia="en-US"/>
              </w:rPr>
              <w:t>Discussion of a report of the Director General on establishment and functioning of the system of internal control and a report of the Director General and the Company’s Management Board on establishment, functioning and efficiency of the risks management system in the Company, as well as information on improvement of such systems in 2018</w:t>
            </w:r>
            <w:r w:rsidRPr="00293E08">
              <w:rPr>
                <w:b/>
                <w:sz w:val="26"/>
                <w:szCs w:val="26"/>
                <w:lang w:val="en-US"/>
              </w:rPr>
              <w:t>”</w:t>
            </w:r>
          </w:p>
        </w:tc>
      </w:tr>
      <w:tr w:rsidR="00736D93" w:rsidRPr="00293E08" w:rsidTr="0051482D">
        <w:trPr>
          <w:trHeight w:val="544"/>
        </w:trPr>
        <w:tc>
          <w:tcPr>
            <w:tcW w:w="10348" w:type="dxa"/>
            <w:gridSpan w:val="2"/>
          </w:tcPr>
          <w:p w:rsidR="00736D93" w:rsidRPr="00293E08" w:rsidRDefault="00736D93" w:rsidP="00736D93">
            <w:pPr>
              <w:pStyle w:val="a3"/>
              <w:rPr>
                <w:rFonts w:ascii="Times New Roman" w:hAnsi="Times New Roman" w:cs="Times New Roman"/>
                <w:sz w:val="26"/>
                <w:szCs w:val="26"/>
                <w:lang w:val="en-US"/>
              </w:rPr>
            </w:pPr>
            <w:r w:rsidRPr="00293E08">
              <w:rPr>
                <w:rFonts w:ascii="Times New Roman" w:hAnsi="Times New Roman" w:cs="Times New Roman"/>
                <w:color w:val="000000" w:themeColor="text1"/>
                <w:sz w:val="26"/>
                <w:szCs w:val="26"/>
                <w:lang w:val="en-US"/>
              </w:rPr>
              <w:t>2.2.</w:t>
            </w:r>
            <w:r w:rsidRPr="00293E08">
              <w:rPr>
                <w:rFonts w:ascii="Times New Roman" w:hAnsi="Times New Roman" w:cs="Times New Roman"/>
                <w:color w:val="000000" w:themeColor="text1"/>
                <w:sz w:val="26"/>
                <w:szCs w:val="26"/>
              </w:rPr>
              <w:t>2</w:t>
            </w:r>
            <w:r w:rsidRPr="00293E08">
              <w:rPr>
                <w:rFonts w:ascii="Times New Roman" w:hAnsi="Times New Roman" w:cs="Times New Roman"/>
                <w:color w:val="000000" w:themeColor="text1"/>
                <w:sz w:val="26"/>
                <w:szCs w:val="26"/>
                <w:lang w:val="en-US"/>
              </w:rPr>
              <w:t>.  Decision adopted by the issuer’s Board of Directors</w:t>
            </w:r>
            <w:r w:rsidRPr="00293E08">
              <w:rPr>
                <w:rFonts w:ascii="Times New Roman" w:hAnsi="Times New Roman" w:cs="Times New Roman"/>
                <w:sz w:val="26"/>
                <w:szCs w:val="26"/>
                <w:lang w:val="en-US"/>
              </w:rPr>
              <w:t>:</w:t>
            </w:r>
          </w:p>
          <w:p w:rsidR="00803601" w:rsidRDefault="00803601" w:rsidP="00803601">
            <w:pPr>
              <w:pStyle w:val="a3"/>
              <w:numPr>
                <w:ilvl w:val="0"/>
                <w:numId w:val="14"/>
              </w:numPr>
              <w:ind w:left="30" w:firstLine="33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Take into consideration the </w:t>
            </w:r>
            <w:r w:rsidRPr="00803601">
              <w:rPr>
                <w:rFonts w:ascii="Times New Roman" w:hAnsi="Times New Roman" w:cs="Times New Roman"/>
                <w:sz w:val="26"/>
                <w:szCs w:val="26"/>
                <w:lang w:val="en-US"/>
              </w:rPr>
              <w:t xml:space="preserve">report of the Director General on establishment and functioning of the system of internal control and </w:t>
            </w:r>
            <w:r>
              <w:rPr>
                <w:rFonts w:ascii="Times New Roman" w:hAnsi="Times New Roman" w:cs="Times New Roman"/>
                <w:sz w:val="26"/>
                <w:szCs w:val="26"/>
                <w:lang w:val="en-US"/>
              </w:rPr>
              <w:t>the</w:t>
            </w:r>
            <w:r w:rsidRPr="00803601">
              <w:rPr>
                <w:rFonts w:ascii="Times New Roman" w:hAnsi="Times New Roman" w:cs="Times New Roman"/>
                <w:sz w:val="26"/>
                <w:szCs w:val="26"/>
                <w:lang w:val="en-US"/>
              </w:rPr>
              <w:t xml:space="preserve"> report on establishment, functioning and efficiency of the risks management system in the Company</w:t>
            </w:r>
            <w:r>
              <w:rPr>
                <w:rFonts w:ascii="Times New Roman" w:hAnsi="Times New Roman" w:cs="Times New Roman"/>
                <w:sz w:val="26"/>
                <w:szCs w:val="26"/>
                <w:lang w:val="en-US"/>
              </w:rPr>
              <w:t xml:space="preserve">, </w:t>
            </w:r>
            <w:r w:rsidRPr="006634C5">
              <w:rPr>
                <w:rFonts w:ascii="Times New Roman" w:hAnsi="Times New Roman" w:cs="Times New Roman"/>
                <w:sz w:val="26"/>
                <w:szCs w:val="26"/>
                <w:lang w:val="en-US"/>
              </w:rPr>
              <w:t>in accordance with Appendix</w:t>
            </w:r>
            <w:r>
              <w:rPr>
                <w:rFonts w:ascii="Times New Roman" w:hAnsi="Times New Roman" w:cs="Times New Roman"/>
                <w:sz w:val="26"/>
                <w:szCs w:val="26"/>
                <w:lang w:val="en-US"/>
              </w:rPr>
              <w:t>es 2-3</w:t>
            </w:r>
            <w:r w:rsidRPr="006634C5">
              <w:rPr>
                <w:rFonts w:ascii="Times New Roman" w:hAnsi="Times New Roman" w:cs="Times New Roman"/>
                <w:sz w:val="26"/>
                <w:szCs w:val="26"/>
                <w:lang w:val="en-US"/>
              </w:rPr>
              <w:t xml:space="preserve"> to this decision of the Board of Directors of the Company</w:t>
            </w:r>
            <w:r>
              <w:rPr>
                <w:rFonts w:ascii="Times New Roman" w:hAnsi="Times New Roman" w:cs="Times New Roman"/>
                <w:sz w:val="26"/>
                <w:szCs w:val="26"/>
                <w:lang w:val="en-US"/>
              </w:rPr>
              <w:t>.</w:t>
            </w:r>
          </w:p>
          <w:p w:rsidR="00803601" w:rsidRDefault="00803601" w:rsidP="00803601">
            <w:pPr>
              <w:pStyle w:val="a3"/>
              <w:numPr>
                <w:ilvl w:val="0"/>
                <w:numId w:val="14"/>
              </w:numPr>
              <w:ind w:left="30" w:firstLine="33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Elaborate </w:t>
            </w:r>
            <w:r w:rsidRPr="00803601">
              <w:rPr>
                <w:rFonts w:ascii="Times New Roman" w:hAnsi="Times New Roman" w:cs="Times New Roman"/>
                <w:sz w:val="26"/>
                <w:szCs w:val="26"/>
                <w:lang w:val="en-US"/>
              </w:rPr>
              <w:t xml:space="preserve">instructions to the Sole Executive Body of the Company regarding measures for the further development of the internal control system after considering the results of an external independent evaluation of the </w:t>
            </w:r>
            <w:r>
              <w:rPr>
                <w:rFonts w:ascii="Times New Roman" w:hAnsi="Times New Roman" w:cs="Times New Roman"/>
                <w:sz w:val="26"/>
                <w:szCs w:val="26"/>
                <w:lang w:val="en-US"/>
              </w:rPr>
              <w:t>efficiency</w:t>
            </w:r>
            <w:r w:rsidRPr="00803601">
              <w:rPr>
                <w:rFonts w:ascii="Times New Roman" w:hAnsi="Times New Roman" w:cs="Times New Roman"/>
                <w:sz w:val="26"/>
                <w:szCs w:val="26"/>
                <w:lang w:val="en-US"/>
              </w:rPr>
              <w:t xml:space="preserve"> of the internal control system</w:t>
            </w:r>
            <w:r>
              <w:rPr>
                <w:rFonts w:ascii="Times New Roman" w:hAnsi="Times New Roman" w:cs="Times New Roman"/>
                <w:sz w:val="26"/>
                <w:szCs w:val="26"/>
                <w:lang w:val="en-US"/>
              </w:rPr>
              <w:t>.</w:t>
            </w:r>
          </w:p>
          <w:p w:rsidR="00736D93" w:rsidRPr="00803601" w:rsidRDefault="00803601" w:rsidP="00803601">
            <w:pPr>
              <w:pStyle w:val="a3"/>
              <w:numPr>
                <w:ilvl w:val="0"/>
                <w:numId w:val="14"/>
              </w:numPr>
              <w:ind w:left="30" w:firstLine="330"/>
              <w:jc w:val="both"/>
              <w:rPr>
                <w:rFonts w:ascii="Times New Roman" w:hAnsi="Times New Roman" w:cs="Times New Roman"/>
                <w:sz w:val="26"/>
                <w:szCs w:val="26"/>
                <w:lang w:val="en-US"/>
              </w:rPr>
            </w:pPr>
            <w:r w:rsidRPr="00803601">
              <w:rPr>
                <w:rFonts w:ascii="Times New Roman" w:hAnsi="Times New Roman" w:cs="Times New Roman"/>
                <w:sz w:val="26"/>
                <w:szCs w:val="26"/>
                <w:lang w:val="en-US"/>
              </w:rPr>
              <w:t xml:space="preserve">In the subsequent reports on organization and functioning of the internal control system, instruct the executive bodies of Kubanenergo </w:t>
            </w:r>
            <w:r w:rsidRPr="00803601">
              <w:rPr>
                <w:rFonts w:ascii="Times New Roman" w:hAnsi="Times New Roman" w:cs="Times New Roman"/>
                <w:sz w:val="26"/>
                <w:szCs w:val="26"/>
                <w:lang w:val="en-US"/>
              </w:rPr>
              <w:t>PJSC</w:t>
            </w:r>
            <w:r w:rsidRPr="00803601">
              <w:rPr>
                <w:rFonts w:ascii="Times New Roman" w:hAnsi="Times New Roman" w:cs="Times New Roman"/>
                <w:sz w:val="26"/>
                <w:szCs w:val="26"/>
                <w:lang w:val="en-US"/>
              </w:rPr>
              <w:t xml:space="preserve"> to disclose information </w:t>
            </w:r>
            <w:r>
              <w:rPr>
                <w:rFonts w:ascii="Times New Roman" w:hAnsi="Times New Roman" w:cs="Times New Roman"/>
                <w:sz w:val="26"/>
                <w:szCs w:val="26"/>
                <w:lang w:val="en-US"/>
              </w:rPr>
              <w:t>how</w:t>
            </w:r>
            <w:r w:rsidRPr="00803601">
              <w:rPr>
                <w:rFonts w:ascii="Times New Roman" w:hAnsi="Times New Roman" w:cs="Times New Roman"/>
                <w:sz w:val="26"/>
                <w:szCs w:val="26"/>
                <w:lang w:val="en-US"/>
              </w:rPr>
              <w:t xml:space="preserve"> the internal control system </w:t>
            </w:r>
            <w:r>
              <w:rPr>
                <w:rFonts w:ascii="Times New Roman" w:hAnsi="Times New Roman" w:cs="Times New Roman"/>
                <w:sz w:val="26"/>
                <w:szCs w:val="26"/>
                <w:lang w:val="en-US"/>
              </w:rPr>
              <w:t>impacts</w:t>
            </w:r>
            <w:r w:rsidRPr="00803601">
              <w:rPr>
                <w:rFonts w:ascii="Times New Roman" w:hAnsi="Times New Roman" w:cs="Times New Roman"/>
                <w:sz w:val="26"/>
                <w:szCs w:val="26"/>
                <w:lang w:val="en-US"/>
              </w:rPr>
              <w:t xml:space="preserve"> the achievement of the Company</w:t>
            </w:r>
            <w:r>
              <w:rPr>
                <w:rFonts w:ascii="Times New Roman" w:hAnsi="Times New Roman" w:cs="Times New Roman"/>
                <w:sz w:val="26"/>
                <w:szCs w:val="26"/>
                <w:lang w:val="en-US"/>
              </w:rPr>
              <w:t>’</w:t>
            </w:r>
            <w:r w:rsidRPr="00803601">
              <w:rPr>
                <w:rFonts w:ascii="Times New Roman" w:hAnsi="Times New Roman" w:cs="Times New Roman"/>
                <w:sz w:val="26"/>
                <w:szCs w:val="26"/>
                <w:lang w:val="en-US"/>
              </w:rPr>
              <w:t>s goals, compliance with applicable legislation and local regulatory acts of the Company, and the reliability of report</w:t>
            </w:r>
            <w:r>
              <w:rPr>
                <w:rFonts w:ascii="Times New Roman" w:hAnsi="Times New Roman" w:cs="Times New Roman"/>
                <w:sz w:val="26"/>
                <w:szCs w:val="26"/>
                <w:lang w:val="en-US"/>
              </w:rPr>
              <w:t>s.</w:t>
            </w:r>
          </w:p>
        </w:tc>
      </w:tr>
      <w:tr w:rsidR="00736D93" w:rsidRPr="00293E08" w:rsidTr="0051482D">
        <w:trPr>
          <w:trHeight w:val="544"/>
        </w:trPr>
        <w:tc>
          <w:tcPr>
            <w:tcW w:w="10348" w:type="dxa"/>
            <w:gridSpan w:val="2"/>
          </w:tcPr>
          <w:p w:rsidR="00736D93" w:rsidRPr="00293E08" w:rsidRDefault="00736D93" w:rsidP="00736D93">
            <w:pPr>
              <w:jc w:val="center"/>
              <w:rPr>
                <w:b/>
                <w:color w:val="000000" w:themeColor="text1"/>
                <w:sz w:val="26"/>
                <w:szCs w:val="26"/>
                <w:lang w:val="en-US" w:eastAsia="en-US"/>
              </w:rPr>
            </w:pPr>
            <w:r w:rsidRPr="00293E08">
              <w:rPr>
                <w:b/>
                <w:color w:val="000000" w:themeColor="text1"/>
                <w:sz w:val="26"/>
                <w:szCs w:val="26"/>
                <w:lang w:val="en-US" w:eastAsia="en-US"/>
              </w:rPr>
              <w:t xml:space="preserve">Disclosure of insider information </w:t>
            </w:r>
          </w:p>
          <w:p w:rsidR="00736D93" w:rsidRPr="00293E08" w:rsidRDefault="00736D93" w:rsidP="00736D93">
            <w:pPr>
              <w:jc w:val="center"/>
              <w:rPr>
                <w:b/>
                <w:sz w:val="26"/>
                <w:szCs w:val="26"/>
                <w:lang w:val="en-US"/>
              </w:rPr>
            </w:pPr>
            <w:r w:rsidRPr="00293E08">
              <w:rPr>
                <w:b/>
                <w:color w:val="000000" w:themeColor="text1"/>
                <w:sz w:val="26"/>
                <w:szCs w:val="26"/>
                <w:lang w:val="en-US" w:eastAsia="en-US"/>
              </w:rPr>
              <w:t xml:space="preserve">Item No. </w:t>
            </w:r>
            <w:r w:rsidRPr="00293E08">
              <w:rPr>
                <w:b/>
                <w:color w:val="000000" w:themeColor="text1"/>
                <w:sz w:val="26"/>
                <w:szCs w:val="26"/>
                <w:lang w:val="en-US" w:eastAsia="en-US"/>
              </w:rPr>
              <w:t>3</w:t>
            </w:r>
            <w:r w:rsidRPr="00293E08">
              <w:rPr>
                <w:b/>
                <w:color w:val="000000" w:themeColor="text1"/>
                <w:sz w:val="26"/>
                <w:szCs w:val="26"/>
                <w:lang w:val="en-US" w:eastAsia="en-US"/>
              </w:rPr>
              <w:t xml:space="preserve"> </w:t>
            </w:r>
            <w:r w:rsidRPr="00293E08">
              <w:rPr>
                <w:b/>
                <w:sz w:val="26"/>
                <w:szCs w:val="26"/>
                <w:lang w:val="en-US"/>
              </w:rPr>
              <w:t>“</w:t>
            </w:r>
            <w:r w:rsidRPr="00293E08">
              <w:rPr>
                <w:b/>
                <w:sz w:val="26"/>
                <w:szCs w:val="26"/>
                <w:lang w:val="en-US" w:eastAsia="en-US"/>
              </w:rPr>
              <w:t>Discussion of a report of the Company’s Internal Audit on evaluation of efficiency of the internal control and risks management systems</w:t>
            </w:r>
            <w:r w:rsidRPr="00293E08">
              <w:rPr>
                <w:b/>
                <w:sz w:val="26"/>
                <w:szCs w:val="26"/>
                <w:lang w:val="en-US"/>
              </w:rPr>
              <w:t>”</w:t>
            </w:r>
          </w:p>
        </w:tc>
      </w:tr>
      <w:tr w:rsidR="00736D93" w:rsidRPr="00293E08" w:rsidTr="0051482D">
        <w:trPr>
          <w:trHeight w:val="544"/>
        </w:trPr>
        <w:tc>
          <w:tcPr>
            <w:tcW w:w="10348" w:type="dxa"/>
            <w:gridSpan w:val="2"/>
          </w:tcPr>
          <w:p w:rsidR="00736D93" w:rsidRPr="00293E08" w:rsidRDefault="00736D93" w:rsidP="00736D93">
            <w:pPr>
              <w:pStyle w:val="a3"/>
              <w:rPr>
                <w:rFonts w:ascii="Times New Roman" w:hAnsi="Times New Roman" w:cs="Times New Roman"/>
                <w:sz w:val="26"/>
                <w:szCs w:val="26"/>
                <w:lang w:val="en-US"/>
              </w:rPr>
            </w:pPr>
            <w:r w:rsidRPr="00293E08">
              <w:rPr>
                <w:rFonts w:ascii="Times New Roman" w:hAnsi="Times New Roman" w:cs="Times New Roman"/>
                <w:color w:val="000000" w:themeColor="text1"/>
                <w:sz w:val="26"/>
                <w:szCs w:val="26"/>
                <w:lang w:val="en-US"/>
              </w:rPr>
              <w:t>2.2.</w:t>
            </w:r>
            <w:r w:rsidRPr="00293E08">
              <w:rPr>
                <w:rFonts w:ascii="Times New Roman" w:hAnsi="Times New Roman" w:cs="Times New Roman"/>
                <w:color w:val="000000" w:themeColor="text1"/>
                <w:sz w:val="26"/>
                <w:szCs w:val="26"/>
              </w:rPr>
              <w:t>3</w:t>
            </w:r>
            <w:r w:rsidRPr="00293E08">
              <w:rPr>
                <w:rFonts w:ascii="Times New Roman" w:hAnsi="Times New Roman" w:cs="Times New Roman"/>
                <w:color w:val="000000" w:themeColor="text1"/>
                <w:sz w:val="26"/>
                <w:szCs w:val="26"/>
                <w:lang w:val="en-US"/>
              </w:rPr>
              <w:t>.  Decision adopted by the issuer’s Board of Directors</w:t>
            </w:r>
            <w:r w:rsidRPr="00293E08">
              <w:rPr>
                <w:rFonts w:ascii="Times New Roman" w:hAnsi="Times New Roman" w:cs="Times New Roman"/>
                <w:sz w:val="26"/>
                <w:szCs w:val="26"/>
                <w:lang w:val="en-US"/>
              </w:rPr>
              <w:t>:</w:t>
            </w:r>
          </w:p>
          <w:p w:rsidR="00736D93" w:rsidRPr="00293E08" w:rsidRDefault="00803601" w:rsidP="00803601">
            <w:pPr>
              <w:pStyle w:val="a3"/>
              <w:jc w:val="both"/>
              <w:rPr>
                <w:rFonts w:ascii="Times New Roman" w:hAnsi="Times New Roman" w:cs="Times New Roman"/>
                <w:sz w:val="26"/>
                <w:szCs w:val="26"/>
                <w:lang w:val="en-US"/>
              </w:rPr>
            </w:pPr>
            <w:r w:rsidRPr="00803601">
              <w:rPr>
                <w:rFonts w:ascii="Times New Roman" w:hAnsi="Times New Roman" w:cs="Times New Roman"/>
                <w:sz w:val="26"/>
                <w:szCs w:val="26"/>
                <w:lang w:val="en-US"/>
              </w:rPr>
              <w:t>Take into consideration the report of the Company’s Internal Audit on evaluation of efficiency of the internal control and risks management systems</w:t>
            </w:r>
            <w:r w:rsidRPr="00803601">
              <w:rPr>
                <w:rFonts w:ascii="Times New Roman" w:hAnsi="Times New Roman" w:cs="Times New Roman"/>
                <w:sz w:val="26"/>
                <w:szCs w:val="26"/>
                <w:lang w:val="en-US"/>
              </w:rPr>
              <w:t xml:space="preserve"> in 2018, </w:t>
            </w:r>
            <w:r w:rsidRPr="00803601">
              <w:rPr>
                <w:rFonts w:ascii="Times New Roman" w:hAnsi="Times New Roman" w:cs="Times New Roman"/>
                <w:sz w:val="26"/>
                <w:szCs w:val="26"/>
                <w:lang w:val="en-US"/>
              </w:rPr>
              <w:t xml:space="preserve">in accordance with Appendix </w:t>
            </w:r>
            <w:r w:rsidRPr="00803601">
              <w:rPr>
                <w:rFonts w:ascii="Times New Roman" w:hAnsi="Times New Roman" w:cs="Times New Roman"/>
                <w:sz w:val="26"/>
                <w:szCs w:val="26"/>
                <w:lang w:val="en-US"/>
              </w:rPr>
              <w:t>4</w:t>
            </w:r>
            <w:r w:rsidRPr="00803601">
              <w:rPr>
                <w:rFonts w:ascii="Times New Roman" w:hAnsi="Times New Roman" w:cs="Times New Roman"/>
                <w:sz w:val="26"/>
                <w:szCs w:val="26"/>
                <w:lang w:val="en-US"/>
              </w:rPr>
              <w:t xml:space="preserve"> to this decision of the Board of Directors of the Company</w:t>
            </w:r>
            <w:r>
              <w:rPr>
                <w:rFonts w:ascii="Times New Roman" w:hAnsi="Times New Roman" w:cs="Times New Roman"/>
                <w:sz w:val="26"/>
                <w:szCs w:val="26"/>
                <w:lang w:val="en-US"/>
              </w:rPr>
              <w:t>.</w:t>
            </w:r>
          </w:p>
        </w:tc>
      </w:tr>
      <w:tr w:rsidR="00736D93" w:rsidRPr="00293E08" w:rsidTr="0051482D">
        <w:trPr>
          <w:trHeight w:val="544"/>
        </w:trPr>
        <w:tc>
          <w:tcPr>
            <w:tcW w:w="10348" w:type="dxa"/>
            <w:gridSpan w:val="2"/>
          </w:tcPr>
          <w:p w:rsidR="00736D93" w:rsidRPr="00293E08" w:rsidRDefault="00736D93" w:rsidP="00736D93">
            <w:pPr>
              <w:jc w:val="center"/>
              <w:rPr>
                <w:b/>
                <w:color w:val="000000" w:themeColor="text1"/>
                <w:sz w:val="26"/>
                <w:szCs w:val="26"/>
                <w:lang w:val="en-US" w:eastAsia="en-US"/>
              </w:rPr>
            </w:pPr>
            <w:r w:rsidRPr="00293E08">
              <w:rPr>
                <w:b/>
                <w:color w:val="000000" w:themeColor="text1"/>
                <w:sz w:val="26"/>
                <w:szCs w:val="26"/>
                <w:lang w:val="en-US" w:eastAsia="en-US"/>
              </w:rPr>
              <w:t xml:space="preserve">Disclosure of insider information </w:t>
            </w:r>
          </w:p>
          <w:p w:rsidR="00736D93" w:rsidRPr="00293E08" w:rsidRDefault="00736D93" w:rsidP="00736D93">
            <w:pPr>
              <w:jc w:val="center"/>
              <w:rPr>
                <w:b/>
                <w:sz w:val="26"/>
                <w:szCs w:val="26"/>
                <w:lang w:val="en-US"/>
              </w:rPr>
            </w:pPr>
            <w:r w:rsidRPr="00293E08">
              <w:rPr>
                <w:b/>
                <w:color w:val="000000" w:themeColor="text1"/>
                <w:sz w:val="26"/>
                <w:szCs w:val="26"/>
                <w:lang w:val="en-US" w:eastAsia="en-US"/>
              </w:rPr>
              <w:t xml:space="preserve">Item No. </w:t>
            </w:r>
            <w:r w:rsidRPr="00293E08">
              <w:rPr>
                <w:b/>
                <w:color w:val="000000" w:themeColor="text1"/>
                <w:sz w:val="26"/>
                <w:szCs w:val="26"/>
                <w:lang w:val="en-US" w:eastAsia="en-US"/>
              </w:rPr>
              <w:t>4</w:t>
            </w:r>
            <w:r w:rsidRPr="00293E08">
              <w:rPr>
                <w:b/>
                <w:color w:val="000000" w:themeColor="text1"/>
                <w:sz w:val="26"/>
                <w:szCs w:val="26"/>
                <w:lang w:val="en-US" w:eastAsia="en-US"/>
              </w:rPr>
              <w:t xml:space="preserve"> </w:t>
            </w:r>
            <w:r w:rsidRPr="00293E08">
              <w:rPr>
                <w:b/>
                <w:sz w:val="26"/>
                <w:szCs w:val="26"/>
                <w:lang w:val="en-US"/>
              </w:rPr>
              <w:t>“</w:t>
            </w:r>
            <w:r w:rsidRPr="00293E08">
              <w:rPr>
                <w:b/>
                <w:sz w:val="26"/>
                <w:szCs w:val="26"/>
                <w:lang w:val="en-US" w:eastAsia="en-US"/>
              </w:rPr>
              <w:t>Discussion of a report on implementation of the consolidated business plan of Kubanenergo Group based on the principles of RAS, consolidated business plan of the Kubanenergo Group based on the principles of IFRS for 9 months of 2018 and 2018</w:t>
            </w:r>
            <w:r w:rsidRPr="00293E08">
              <w:rPr>
                <w:b/>
                <w:sz w:val="26"/>
                <w:szCs w:val="26"/>
                <w:lang w:val="en-US"/>
              </w:rPr>
              <w:t>”</w:t>
            </w:r>
          </w:p>
        </w:tc>
      </w:tr>
      <w:tr w:rsidR="00736D93" w:rsidRPr="00293E08" w:rsidTr="0051482D">
        <w:trPr>
          <w:trHeight w:val="544"/>
        </w:trPr>
        <w:tc>
          <w:tcPr>
            <w:tcW w:w="10348" w:type="dxa"/>
            <w:gridSpan w:val="2"/>
          </w:tcPr>
          <w:p w:rsidR="00736D93" w:rsidRPr="00743BAE" w:rsidRDefault="00736D93" w:rsidP="00736D93">
            <w:pPr>
              <w:pStyle w:val="a3"/>
              <w:rPr>
                <w:rFonts w:ascii="Times New Roman" w:hAnsi="Times New Roman" w:cs="Times New Roman"/>
                <w:sz w:val="26"/>
                <w:szCs w:val="26"/>
                <w:lang w:val="en-US"/>
              </w:rPr>
            </w:pPr>
            <w:r w:rsidRPr="00743BAE">
              <w:rPr>
                <w:rFonts w:ascii="Times New Roman" w:hAnsi="Times New Roman" w:cs="Times New Roman"/>
                <w:color w:val="000000" w:themeColor="text1"/>
                <w:sz w:val="26"/>
                <w:szCs w:val="26"/>
                <w:lang w:val="en-US"/>
              </w:rPr>
              <w:t>2.2.</w:t>
            </w:r>
            <w:r w:rsidRPr="00743BAE">
              <w:rPr>
                <w:rFonts w:ascii="Times New Roman" w:hAnsi="Times New Roman" w:cs="Times New Roman"/>
                <w:color w:val="000000" w:themeColor="text1"/>
                <w:sz w:val="26"/>
                <w:szCs w:val="26"/>
              </w:rPr>
              <w:t>4</w:t>
            </w:r>
            <w:r w:rsidRPr="00743BAE">
              <w:rPr>
                <w:rFonts w:ascii="Times New Roman" w:hAnsi="Times New Roman" w:cs="Times New Roman"/>
                <w:color w:val="000000" w:themeColor="text1"/>
                <w:sz w:val="26"/>
                <w:szCs w:val="26"/>
                <w:lang w:val="en-US"/>
              </w:rPr>
              <w:t>.  Decision adopted by the issuer’s Board of Directors</w:t>
            </w:r>
            <w:r w:rsidRPr="00743BAE">
              <w:rPr>
                <w:rFonts w:ascii="Times New Roman" w:hAnsi="Times New Roman" w:cs="Times New Roman"/>
                <w:sz w:val="26"/>
                <w:szCs w:val="26"/>
                <w:lang w:val="en-US"/>
              </w:rPr>
              <w:t>:</w:t>
            </w:r>
          </w:p>
          <w:p w:rsidR="00736D93" w:rsidRPr="00743BAE" w:rsidRDefault="00743BAE" w:rsidP="00736D93">
            <w:pPr>
              <w:pStyle w:val="a3"/>
              <w:jc w:val="both"/>
              <w:rPr>
                <w:rFonts w:ascii="Times New Roman" w:hAnsi="Times New Roman" w:cs="Times New Roman"/>
                <w:sz w:val="26"/>
                <w:szCs w:val="26"/>
                <w:lang w:val="en-US"/>
              </w:rPr>
            </w:pPr>
            <w:r w:rsidRPr="00743BAE">
              <w:rPr>
                <w:rFonts w:ascii="Times New Roman" w:hAnsi="Times New Roman" w:cs="Times New Roman"/>
                <w:sz w:val="26"/>
                <w:szCs w:val="26"/>
                <w:lang w:val="en-US"/>
              </w:rPr>
              <w:t>Take into consideration the report</w:t>
            </w:r>
            <w:r w:rsidRPr="00743BAE">
              <w:rPr>
                <w:rFonts w:ascii="Times New Roman" w:hAnsi="Times New Roman" w:cs="Times New Roman"/>
                <w:sz w:val="26"/>
                <w:szCs w:val="26"/>
                <w:lang w:val="en-US"/>
              </w:rPr>
              <w:t xml:space="preserve"> </w:t>
            </w:r>
            <w:r w:rsidRPr="00743BAE">
              <w:rPr>
                <w:rFonts w:ascii="Times New Roman" w:hAnsi="Times New Roman" w:cs="Times New Roman"/>
                <w:sz w:val="26"/>
                <w:szCs w:val="26"/>
                <w:lang w:val="en-US"/>
              </w:rPr>
              <w:t xml:space="preserve">on implementation of the consolidated business plan of Kubanenergo Group based on the principles of RAS, consolidated business plan of the Kubanenergo Group based on the principles of IFRS for 9 months of 2018 and 2018 </w:t>
            </w:r>
            <w:r w:rsidR="00803601" w:rsidRPr="00743BAE">
              <w:rPr>
                <w:rFonts w:ascii="Times New Roman" w:hAnsi="Times New Roman" w:cs="Times New Roman"/>
                <w:sz w:val="26"/>
                <w:szCs w:val="26"/>
                <w:lang w:val="en-US"/>
              </w:rPr>
              <w:t>in accordance with Appendix</w:t>
            </w:r>
            <w:r w:rsidRPr="00743BAE">
              <w:rPr>
                <w:rFonts w:ascii="Times New Roman" w:hAnsi="Times New Roman" w:cs="Times New Roman"/>
                <w:sz w:val="26"/>
                <w:szCs w:val="26"/>
                <w:lang w:val="en-US"/>
              </w:rPr>
              <w:t>es</w:t>
            </w:r>
            <w:r w:rsidR="00803601" w:rsidRPr="00743BAE">
              <w:rPr>
                <w:rFonts w:ascii="Times New Roman" w:hAnsi="Times New Roman" w:cs="Times New Roman"/>
                <w:sz w:val="26"/>
                <w:szCs w:val="26"/>
                <w:lang w:val="en-US"/>
              </w:rPr>
              <w:t xml:space="preserve"> </w:t>
            </w:r>
            <w:r w:rsidRPr="00743BAE">
              <w:rPr>
                <w:rFonts w:ascii="Times New Roman" w:hAnsi="Times New Roman" w:cs="Times New Roman"/>
                <w:sz w:val="26"/>
                <w:szCs w:val="26"/>
                <w:lang w:val="en-US"/>
              </w:rPr>
              <w:t>5-6</w:t>
            </w:r>
            <w:r w:rsidR="00803601" w:rsidRPr="00743BAE">
              <w:rPr>
                <w:rFonts w:ascii="Times New Roman" w:hAnsi="Times New Roman" w:cs="Times New Roman"/>
                <w:sz w:val="26"/>
                <w:szCs w:val="26"/>
                <w:lang w:val="en-US"/>
              </w:rPr>
              <w:t xml:space="preserve"> to this decision of the Board of Directors of the Company</w:t>
            </w:r>
            <w:r w:rsidRPr="00743BAE">
              <w:rPr>
                <w:rFonts w:ascii="Times New Roman" w:hAnsi="Times New Roman" w:cs="Times New Roman"/>
                <w:sz w:val="26"/>
                <w:szCs w:val="26"/>
                <w:lang w:val="en-US"/>
              </w:rPr>
              <w:t>.</w:t>
            </w:r>
          </w:p>
        </w:tc>
      </w:tr>
      <w:tr w:rsidR="00736D93" w:rsidRPr="00293E08" w:rsidTr="0051482D">
        <w:trPr>
          <w:trHeight w:val="544"/>
        </w:trPr>
        <w:tc>
          <w:tcPr>
            <w:tcW w:w="10348" w:type="dxa"/>
            <w:gridSpan w:val="2"/>
          </w:tcPr>
          <w:p w:rsidR="00736D93" w:rsidRPr="00293E08" w:rsidRDefault="00736D93" w:rsidP="00736D93">
            <w:pPr>
              <w:jc w:val="center"/>
              <w:rPr>
                <w:b/>
                <w:color w:val="000000" w:themeColor="text1"/>
                <w:sz w:val="26"/>
                <w:szCs w:val="26"/>
                <w:lang w:val="en-US" w:eastAsia="en-US"/>
              </w:rPr>
            </w:pPr>
            <w:r w:rsidRPr="00293E08">
              <w:rPr>
                <w:b/>
                <w:color w:val="000000" w:themeColor="text1"/>
                <w:sz w:val="26"/>
                <w:szCs w:val="26"/>
                <w:lang w:val="en-US" w:eastAsia="en-US"/>
              </w:rPr>
              <w:t xml:space="preserve">Disclosure of insider information </w:t>
            </w:r>
          </w:p>
          <w:p w:rsidR="00736D93" w:rsidRPr="00293E08" w:rsidRDefault="00736D93" w:rsidP="00736D93">
            <w:pPr>
              <w:jc w:val="center"/>
              <w:rPr>
                <w:b/>
                <w:sz w:val="26"/>
                <w:szCs w:val="26"/>
                <w:lang w:val="en-US"/>
              </w:rPr>
            </w:pPr>
            <w:r w:rsidRPr="00293E08">
              <w:rPr>
                <w:b/>
                <w:color w:val="000000" w:themeColor="text1"/>
                <w:sz w:val="26"/>
                <w:szCs w:val="26"/>
                <w:lang w:val="en-US" w:eastAsia="en-US"/>
              </w:rPr>
              <w:t xml:space="preserve">Item No. </w:t>
            </w:r>
            <w:r w:rsidRPr="00293E08">
              <w:rPr>
                <w:b/>
                <w:color w:val="000000" w:themeColor="text1"/>
                <w:sz w:val="26"/>
                <w:szCs w:val="26"/>
                <w:lang w:val="en-US" w:eastAsia="en-US"/>
              </w:rPr>
              <w:t>5</w:t>
            </w:r>
            <w:r w:rsidRPr="00293E08">
              <w:rPr>
                <w:b/>
                <w:color w:val="000000" w:themeColor="text1"/>
                <w:sz w:val="26"/>
                <w:szCs w:val="26"/>
                <w:lang w:val="en-US" w:eastAsia="en-US"/>
              </w:rPr>
              <w:t xml:space="preserve"> </w:t>
            </w:r>
            <w:r w:rsidRPr="00293E08">
              <w:rPr>
                <w:b/>
                <w:sz w:val="26"/>
                <w:szCs w:val="26"/>
                <w:lang w:val="en-US"/>
              </w:rPr>
              <w:t>“</w:t>
            </w:r>
            <w:r w:rsidRPr="00293E08">
              <w:rPr>
                <w:b/>
                <w:sz w:val="26"/>
                <w:szCs w:val="26"/>
                <w:lang w:val="en-US" w:eastAsia="en-US"/>
              </w:rPr>
              <w:t>Approval of the list of investment projects subject to technological price audit in 2019</w:t>
            </w:r>
            <w:r w:rsidRPr="00293E08">
              <w:rPr>
                <w:b/>
                <w:sz w:val="26"/>
                <w:szCs w:val="26"/>
                <w:lang w:val="en-US"/>
              </w:rPr>
              <w:t>”</w:t>
            </w:r>
          </w:p>
        </w:tc>
      </w:tr>
      <w:tr w:rsidR="00736D93" w:rsidRPr="00293E08" w:rsidTr="0051482D">
        <w:trPr>
          <w:trHeight w:val="544"/>
        </w:trPr>
        <w:tc>
          <w:tcPr>
            <w:tcW w:w="10348" w:type="dxa"/>
            <w:gridSpan w:val="2"/>
          </w:tcPr>
          <w:p w:rsidR="00736D93" w:rsidRPr="00743BAE" w:rsidRDefault="00736D93" w:rsidP="00736D93">
            <w:pPr>
              <w:pStyle w:val="a3"/>
              <w:rPr>
                <w:rFonts w:ascii="Times New Roman" w:hAnsi="Times New Roman" w:cs="Times New Roman"/>
                <w:sz w:val="26"/>
                <w:szCs w:val="26"/>
                <w:lang w:val="en-US"/>
              </w:rPr>
            </w:pPr>
            <w:r w:rsidRPr="00743BAE">
              <w:rPr>
                <w:rFonts w:ascii="Times New Roman" w:hAnsi="Times New Roman" w:cs="Times New Roman"/>
                <w:color w:val="000000" w:themeColor="text1"/>
                <w:sz w:val="26"/>
                <w:szCs w:val="26"/>
                <w:lang w:val="en-US"/>
              </w:rPr>
              <w:t>2.2.</w:t>
            </w:r>
            <w:r w:rsidRPr="00743BAE">
              <w:rPr>
                <w:rFonts w:ascii="Times New Roman" w:hAnsi="Times New Roman" w:cs="Times New Roman"/>
                <w:color w:val="000000" w:themeColor="text1"/>
                <w:sz w:val="26"/>
                <w:szCs w:val="26"/>
              </w:rPr>
              <w:t>5</w:t>
            </w:r>
            <w:r w:rsidRPr="00743BAE">
              <w:rPr>
                <w:rFonts w:ascii="Times New Roman" w:hAnsi="Times New Roman" w:cs="Times New Roman"/>
                <w:color w:val="000000" w:themeColor="text1"/>
                <w:sz w:val="26"/>
                <w:szCs w:val="26"/>
                <w:lang w:val="en-US"/>
              </w:rPr>
              <w:t>.  Decision adopted by the issuer’s Board of Directors</w:t>
            </w:r>
            <w:r w:rsidRPr="00743BAE">
              <w:rPr>
                <w:rFonts w:ascii="Times New Roman" w:hAnsi="Times New Roman" w:cs="Times New Roman"/>
                <w:sz w:val="26"/>
                <w:szCs w:val="26"/>
                <w:lang w:val="en-US"/>
              </w:rPr>
              <w:t>:</w:t>
            </w:r>
          </w:p>
          <w:p w:rsidR="00736D93" w:rsidRPr="00743BAE" w:rsidRDefault="00743BAE" w:rsidP="00736D93">
            <w:pPr>
              <w:pStyle w:val="a3"/>
              <w:jc w:val="both"/>
              <w:rPr>
                <w:rFonts w:ascii="Times New Roman" w:hAnsi="Times New Roman" w:cs="Times New Roman"/>
                <w:sz w:val="26"/>
                <w:szCs w:val="26"/>
                <w:lang w:val="en-US"/>
              </w:rPr>
            </w:pPr>
            <w:r w:rsidRPr="00743BAE">
              <w:rPr>
                <w:rFonts w:ascii="Times New Roman" w:hAnsi="Times New Roman" w:cs="Times New Roman"/>
                <w:sz w:val="26"/>
                <w:szCs w:val="26"/>
                <w:lang w:val="en-US"/>
              </w:rPr>
              <w:t xml:space="preserve">Approve </w:t>
            </w:r>
            <w:r w:rsidRPr="00743BAE">
              <w:rPr>
                <w:rFonts w:ascii="Times New Roman" w:hAnsi="Times New Roman" w:cs="Times New Roman"/>
                <w:sz w:val="26"/>
                <w:szCs w:val="26"/>
                <w:lang w:val="en-US"/>
              </w:rPr>
              <w:t>the list of investment projects subject to technological price audit in 2019</w:t>
            </w:r>
            <w:r w:rsidR="00803601" w:rsidRPr="00743BAE">
              <w:rPr>
                <w:rFonts w:ascii="Times New Roman" w:hAnsi="Times New Roman" w:cs="Times New Roman"/>
                <w:sz w:val="26"/>
                <w:szCs w:val="26"/>
                <w:lang w:val="en-US"/>
              </w:rPr>
              <w:t xml:space="preserve">in accordance with Appendix </w:t>
            </w:r>
            <w:r w:rsidRPr="00743BAE">
              <w:rPr>
                <w:rFonts w:ascii="Times New Roman" w:hAnsi="Times New Roman" w:cs="Times New Roman"/>
                <w:sz w:val="26"/>
                <w:szCs w:val="26"/>
                <w:lang w:val="en-US"/>
              </w:rPr>
              <w:t>7</w:t>
            </w:r>
            <w:r w:rsidR="00803601" w:rsidRPr="00743BAE">
              <w:rPr>
                <w:rFonts w:ascii="Times New Roman" w:hAnsi="Times New Roman" w:cs="Times New Roman"/>
                <w:sz w:val="26"/>
                <w:szCs w:val="26"/>
                <w:lang w:val="en-US"/>
              </w:rPr>
              <w:t xml:space="preserve"> to this decision of the Board of Directors of the Company</w:t>
            </w:r>
            <w:r w:rsidRPr="00743BAE">
              <w:rPr>
                <w:rFonts w:ascii="Times New Roman" w:hAnsi="Times New Roman" w:cs="Times New Roman"/>
                <w:sz w:val="26"/>
                <w:szCs w:val="26"/>
                <w:lang w:val="en-US"/>
              </w:rPr>
              <w:t>.</w:t>
            </w:r>
          </w:p>
        </w:tc>
      </w:tr>
      <w:tr w:rsidR="00736D93" w:rsidRPr="00293E08" w:rsidTr="0051482D">
        <w:trPr>
          <w:trHeight w:val="544"/>
        </w:trPr>
        <w:tc>
          <w:tcPr>
            <w:tcW w:w="10348" w:type="dxa"/>
            <w:gridSpan w:val="2"/>
          </w:tcPr>
          <w:p w:rsidR="00736D93" w:rsidRPr="00293E08" w:rsidRDefault="00736D93" w:rsidP="00736D93">
            <w:pPr>
              <w:jc w:val="center"/>
              <w:rPr>
                <w:b/>
                <w:color w:val="000000" w:themeColor="text1"/>
                <w:sz w:val="26"/>
                <w:szCs w:val="26"/>
                <w:lang w:val="en-US" w:eastAsia="en-US"/>
              </w:rPr>
            </w:pPr>
            <w:r w:rsidRPr="00293E08">
              <w:rPr>
                <w:b/>
                <w:color w:val="000000" w:themeColor="text1"/>
                <w:sz w:val="26"/>
                <w:szCs w:val="26"/>
                <w:lang w:val="en-US" w:eastAsia="en-US"/>
              </w:rPr>
              <w:t xml:space="preserve">Disclosure of insider information </w:t>
            </w:r>
          </w:p>
          <w:p w:rsidR="00736D93" w:rsidRPr="00293E08" w:rsidRDefault="00736D93" w:rsidP="00743BAE">
            <w:pPr>
              <w:jc w:val="center"/>
              <w:rPr>
                <w:b/>
                <w:sz w:val="26"/>
                <w:szCs w:val="26"/>
                <w:lang w:val="en-US"/>
              </w:rPr>
            </w:pPr>
            <w:r w:rsidRPr="00293E08">
              <w:rPr>
                <w:b/>
                <w:color w:val="000000" w:themeColor="text1"/>
                <w:sz w:val="26"/>
                <w:szCs w:val="26"/>
                <w:lang w:val="en-US" w:eastAsia="en-US"/>
              </w:rPr>
              <w:t xml:space="preserve">Item No. </w:t>
            </w:r>
            <w:r w:rsidRPr="00293E08">
              <w:rPr>
                <w:b/>
                <w:color w:val="000000" w:themeColor="text1"/>
                <w:sz w:val="26"/>
                <w:szCs w:val="26"/>
                <w:lang w:val="en-US" w:eastAsia="en-US"/>
              </w:rPr>
              <w:t>6</w:t>
            </w:r>
            <w:r w:rsidRPr="00293E08">
              <w:rPr>
                <w:b/>
                <w:color w:val="000000" w:themeColor="text1"/>
                <w:sz w:val="26"/>
                <w:szCs w:val="26"/>
                <w:lang w:val="en-US" w:eastAsia="en-US"/>
              </w:rPr>
              <w:t xml:space="preserve"> </w:t>
            </w:r>
            <w:r w:rsidRPr="00293E08">
              <w:rPr>
                <w:b/>
                <w:sz w:val="26"/>
                <w:szCs w:val="26"/>
                <w:lang w:val="en-US"/>
              </w:rPr>
              <w:t>“</w:t>
            </w:r>
            <w:r w:rsidRPr="00293E08">
              <w:rPr>
                <w:b/>
                <w:sz w:val="26"/>
                <w:szCs w:val="26"/>
                <w:lang w:val="en-US" w:eastAsia="en-US"/>
              </w:rPr>
              <w:t xml:space="preserve">Consideration of </w:t>
            </w:r>
            <w:r w:rsidR="00743BAE">
              <w:rPr>
                <w:b/>
                <w:sz w:val="26"/>
                <w:szCs w:val="26"/>
                <w:lang w:val="en-US" w:eastAsia="en-US"/>
              </w:rPr>
              <w:t>a</w:t>
            </w:r>
            <w:r w:rsidRPr="00293E08">
              <w:rPr>
                <w:b/>
                <w:sz w:val="26"/>
                <w:szCs w:val="26"/>
                <w:lang w:val="en-US" w:eastAsia="en-US"/>
              </w:rPr>
              <w:t xml:space="preserve"> report of the Director General of Kubanenergo PJSC on expenditures pertaining to the preparation and holding of the extraordinary General Meeting of Shareholders of the Company on 17 April 2019</w:t>
            </w:r>
            <w:r w:rsidRPr="00293E08">
              <w:rPr>
                <w:b/>
                <w:sz w:val="26"/>
                <w:szCs w:val="26"/>
                <w:lang w:val="en-US"/>
              </w:rPr>
              <w:t>”</w:t>
            </w:r>
          </w:p>
        </w:tc>
      </w:tr>
      <w:tr w:rsidR="00736D93" w:rsidRPr="00293E08" w:rsidTr="0051482D">
        <w:trPr>
          <w:trHeight w:val="544"/>
        </w:trPr>
        <w:tc>
          <w:tcPr>
            <w:tcW w:w="10348" w:type="dxa"/>
            <w:gridSpan w:val="2"/>
          </w:tcPr>
          <w:p w:rsidR="00736D93" w:rsidRPr="00743BAE" w:rsidRDefault="00736D93" w:rsidP="00736D93">
            <w:pPr>
              <w:pStyle w:val="a3"/>
              <w:rPr>
                <w:rFonts w:ascii="Times New Roman" w:hAnsi="Times New Roman" w:cs="Times New Roman"/>
                <w:sz w:val="26"/>
                <w:szCs w:val="26"/>
                <w:lang w:val="en-US"/>
              </w:rPr>
            </w:pPr>
            <w:r w:rsidRPr="00743BAE">
              <w:rPr>
                <w:rFonts w:ascii="Times New Roman" w:hAnsi="Times New Roman" w:cs="Times New Roman"/>
                <w:color w:val="000000" w:themeColor="text1"/>
                <w:sz w:val="26"/>
                <w:szCs w:val="26"/>
                <w:lang w:val="en-US"/>
              </w:rPr>
              <w:t>2.2.</w:t>
            </w:r>
            <w:r w:rsidRPr="00743BAE">
              <w:rPr>
                <w:rFonts w:ascii="Times New Roman" w:hAnsi="Times New Roman" w:cs="Times New Roman"/>
                <w:color w:val="000000" w:themeColor="text1"/>
                <w:sz w:val="26"/>
                <w:szCs w:val="26"/>
              </w:rPr>
              <w:t>6</w:t>
            </w:r>
            <w:r w:rsidRPr="00743BAE">
              <w:rPr>
                <w:rFonts w:ascii="Times New Roman" w:hAnsi="Times New Roman" w:cs="Times New Roman"/>
                <w:color w:val="000000" w:themeColor="text1"/>
                <w:sz w:val="26"/>
                <w:szCs w:val="26"/>
                <w:lang w:val="en-US"/>
              </w:rPr>
              <w:t>.  Decision adopted by the issuer’s Board of Directors</w:t>
            </w:r>
            <w:r w:rsidRPr="00743BAE">
              <w:rPr>
                <w:rFonts w:ascii="Times New Roman" w:hAnsi="Times New Roman" w:cs="Times New Roman"/>
                <w:sz w:val="26"/>
                <w:szCs w:val="26"/>
                <w:lang w:val="en-US"/>
              </w:rPr>
              <w:t>:</w:t>
            </w:r>
          </w:p>
          <w:p w:rsidR="00736D93" w:rsidRPr="00743BAE" w:rsidRDefault="00743BAE" w:rsidP="00743BAE">
            <w:pPr>
              <w:pStyle w:val="a3"/>
              <w:jc w:val="both"/>
              <w:rPr>
                <w:rFonts w:ascii="Times New Roman" w:hAnsi="Times New Roman" w:cs="Times New Roman"/>
                <w:sz w:val="26"/>
                <w:szCs w:val="26"/>
                <w:lang w:val="en-US"/>
              </w:rPr>
            </w:pPr>
            <w:r w:rsidRPr="00743BAE">
              <w:rPr>
                <w:rFonts w:ascii="Times New Roman" w:hAnsi="Times New Roman" w:cs="Times New Roman"/>
                <w:sz w:val="26"/>
                <w:szCs w:val="26"/>
                <w:lang w:val="en-US"/>
              </w:rPr>
              <w:t>Take into consideration the report</w:t>
            </w:r>
            <w:r w:rsidRPr="00743BAE">
              <w:rPr>
                <w:rFonts w:ascii="Times New Roman" w:hAnsi="Times New Roman" w:cs="Times New Roman"/>
                <w:sz w:val="26"/>
                <w:szCs w:val="26"/>
                <w:lang w:val="en-US"/>
              </w:rPr>
              <w:t xml:space="preserve"> </w:t>
            </w:r>
            <w:r w:rsidRPr="00743BAE">
              <w:rPr>
                <w:rFonts w:ascii="Times New Roman" w:hAnsi="Times New Roman" w:cs="Times New Roman"/>
                <w:sz w:val="26"/>
                <w:szCs w:val="26"/>
                <w:lang w:val="en-US"/>
              </w:rPr>
              <w:t>of the Director General of Kubanenergo PJSC on expenditures pertaining to the preparation and holding of the e</w:t>
            </w:r>
            <w:bookmarkStart w:id="0" w:name="_GoBack"/>
            <w:bookmarkEnd w:id="0"/>
            <w:r w:rsidRPr="00743BAE">
              <w:rPr>
                <w:rFonts w:ascii="Times New Roman" w:hAnsi="Times New Roman" w:cs="Times New Roman"/>
                <w:sz w:val="26"/>
                <w:szCs w:val="26"/>
                <w:lang w:val="en-US"/>
              </w:rPr>
              <w:t>xtraordinary General Meeting of Shareholders of the Company on 17 April 2019</w:t>
            </w:r>
            <w:r w:rsidRPr="00743BAE">
              <w:rPr>
                <w:rFonts w:ascii="Times New Roman" w:hAnsi="Times New Roman" w:cs="Times New Roman"/>
                <w:sz w:val="26"/>
                <w:szCs w:val="26"/>
                <w:lang w:val="en-US"/>
              </w:rPr>
              <w:t xml:space="preserve">, </w:t>
            </w:r>
            <w:r w:rsidRPr="00743BAE">
              <w:rPr>
                <w:rFonts w:ascii="Times New Roman" w:hAnsi="Times New Roman" w:cs="Times New Roman"/>
                <w:sz w:val="26"/>
                <w:szCs w:val="26"/>
                <w:lang w:val="en-US"/>
              </w:rPr>
              <w:t xml:space="preserve">in accordance with Appendix </w:t>
            </w:r>
            <w:r w:rsidRPr="00743BAE">
              <w:rPr>
                <w:rFonts w:ascii="Times New Roman" w:hAnsi="Times New Roman" w:cs="Times New Roman"/>
                <w:sz w:val="26"/>
                <w:szCs w:val="26"/>
                <w:lang w:val="en-US"/>
              </w:rPr>
              <w:t>8</w:t>
            </w:r>
            <w:r w:rsidRPr="00743BAE">
              <w:rPr>
                <w:rFonts w:ascii="Times New Roman" w:hAnsi="Times New Roman" w:cs="Times New Roman"/>
                <w:sz w:val="26"/>
                <w:szCs w:val="26"/>
                <w:lang w:val="en-US"/>
              </w:rPr>
              <w:t xml:space="preserve"> to this decision of the Board of Directors of the Company</w:t>
            </w:r>
            <w:r w:rsidRPr="00743BAE">
              <w:rPr>
                <w:rFonts w:ascii="Times New Roman" w:hAnsi="Times New Roman" w:cs="Times New Roman"/>
                <w:sz w:val="26"/>
                <w:szCs w:val="26"/>
                <w:lang w:val="en-US"/>
              </w:rPr>
              <w:t>.</w:t>
            </w:r>
          </w:p>
        </w:tc>
      </w:tr>
      <w:tr w:rsidR="00741003" w:rsidRPr="00293E08" w:rsidTr="0051482D">
        <w:tc>
          <w:tcPr>
            <w:tcW w:w="10348" w:type="dxa"/>
            <w:gridSpan w:val="2"/>
          </w:tcPr>
          <w:p w:rsidR="00815FFD" w:rsidRPr="00293E08" w:rsidRDefault="0005580F" w:rsidP="006A7084">
            <w:pPr>
              <w:pStyle w:val="a3"/>
              <w:jc w:val="both"/>
              <w:rPr>
                <w:rFonts w:ascii="Times New Roman" w:hAnsi="Times New Roman" w:cs="Times New Roman"/>
                <w:sz w:val="26"/>
                <w:szCs w:val="26"/>
                <w:lang w:val="en-US"/>
              </w:rPr>
            </w:pPr>
            <w:r w:rsidRPr="00293E08">
              <w:rPr>
                <w:rFonts w:ascii="Times New Roman" w:hAnsi="Times New Roman" w:cs="Times New Roman"/>
                <w:color w:val="000000" w:themeColor="text1"/>
                <w:sz w:val="26"/>
                <w:szCs w:val="26"/>
                <w:lang w:val="en-US"/>
              </w:rPr>
              <w:t>2.3. Date of holding the meeting of the Board of Directors which adopted the resolutions</w:t>
            </w:r>
            <w:r w:rsidR="00741003" w:rsidRPr="00293E08">
              <w:rPr>
                <w:rFonts w:ascii="Times New Roman" w:hAnsi="Times New Roman" w:cs="Times New Roman"/>
                <w:sz w:val="26"/>
                <w:szCs w:val="26"/>
                <w:lang w:val="en-US"/>
              </w:rPr>
              <w:t xml:space="preserve">: </w:t>
            </w:r>
          </w:p>
          <w:p w:rsidR="00741003" w:rsidRPr="00293E08" w:rsidRDefault="009D4283" w:rsidP="006A7084">
            <w:pPr>
              <w:pStyle w:val="a3"/>
              <w:jc w:val="both"/>
              <w:rPr>
                <w:rFonts w:ascii="Times New Roman" w:hAnsi="Times New Roman" w:cs="Times New Roman"/>
                <w:b/>
                <w:sz w:val="26"/>
                <w:szCs w:val="26"/>
                <w:lang w:val="en-US"/>
              </w:rPr>
            </w:pPr>
            <w:r w:rsidRPr="00293E08">
              <w:rPr>
                <w:rFonts w:ascii="Times New Roman" w:hAnsi="Times New Roman" w:cs="Times New Roman"/>
                <w:b/>
                <w:sz w:val="26"/>
                <w:szCs w:val="26"/>
                <w:lang w:val="en-US"/>
              </w:rPr>
              <w:t>12 August</w:t>
            </w:r>
            <w:r w:rsidR="0005580F" w:rsidRPr="00293E08">
              <w:rPr>
                <w:rFonts w:ascii="Times New Roman" w:hAnsi="Times New Roman" w:cs="Times New Roman"/>
                <w:b/>
                <w:sz w:val="26"/>
                <w:szCs w:val="26"/>
                <w:lang w:val="en-US"/>
              </w:rPr>
              <w:t xml:space="preserve"> 2019</w:t>
            </w:r>
            <w:r w:rsidR="00741003" w:rsidRPr="00293E08">
              <w:rPr>
                <w:rFonts w:ascii="Times New Roman" w:hAnsi="Times New Roman" w:cs="Times New Roman"/>
                <w:b/>
                <w:sz w:val="26"/>
                <w:szCs w:val="26"/>
                <w:lang w:val="en-US"/>
              </w:rPr>
              <w:t>.</w:t>
            </w:r>
          </w:p>
          <w:p w:rsidR="00741003" w:rsidRPr="00293E08" w:rsidRDefault="0005580F" w:rsidP="00736D93">
            <w:pPr>
              <w:pStyle w:val="a3"/>
              <w:jc w:val="both"/>
              <w:rPr>
                <w:rFonts w:ascii="Times New Roman" w:hAnsi="Times New Roman" w:cs="Times New Roman"/>
                <w:sz w:val="26"/>
                <w:szCs w:val="26"/>
                <w:lang w:val="en-US"/>
              </w:rPr>
            </w:pPr>
            <w:r w:rsidRPr="00293E08">
              <w:rPr>
                <w:rFonts w:ascii="Times New Roman" w:hAnsi="Times New Roman" w:cs="Times New Roman"/>
                <w:color w:val="000000" w:themeColor="text1"/>
                <w:sz w:val="26"/>
                <w:szCs w:val="26"/>
                <w:lang w:val="en-US"/>
              </w:rPr>
              <w:t>2.3. Date of holding the meeting of the Board of Directors which adopted the resolutions</w:t>
            </w:r>
            <w:r w:rsidR="00741003" w:rsidRPr="00293E08">
              <w:rPr>
                <w:rFonts w:ascii="Times New Roman" w:hAnsi="Times New Roman" w:cs="Times New Roman"/>
                <w:sz w:val="26"/>
                <w:szCs w:val="26"/>
                <w:lang w:val="en-US"/>
              </w:rPr>
              <w:t>:</w:t>
            </w:r>
            <w:r w:rsidR="00C13329" w:rsidRPr="00293E08">
              <w:rPr>
                <w:rFonts w:ascii="Times New Roman" w:hAnsi="Times New Roman" w:cs="Times New Roman"/>
                <w:b/>
                <w:sz w:val="26"/>
                <w:szCs w:val="26"/>
                <w:lang w:val="en-US"/>
              </w:rPr>
              <w:t xml:space="preserve"> </w:t>
            </w:r>
            <w:r w:rsidR="009D4283" w:rsidRPr="00293E08">
              <w:rPr>
                <w:rFonts w:ascii="Times New Roman" w:hAnsi="Times New Roman" w:cs="Times New Roman"/>
                <w:b/>
                <w:sz w:val="26"/>
                <w:szCs w:val="26"/>
                <w:lang w:val="en-US"/>
              </w:rPr>
              <w:t>1</w:t>
            </w:r>
            <w:r w:rsidR="00736D93" w:rsidRPr="00293E08">
              <w:rPr>
                <w:rFonts w:ascii="Times New Roman" w:hAnsi="Times New Roman" w:cs="Times New Roman"/>
                <w:b/>
                <w:sz w:val="26"/>
                <w:szCs w:val="26"/>
                <w:lang w:val="en-US"/>
              </w:rPr>
              <w:t>3</w:t>
            </w:r>
            <w:r w:rsidR="003A29BD" w:rsidRPr="00293E08">
              <w:rPr>
                <w:rFonts w:ascii="Times New Roman" w:hAnsi="Times New Roman" w:cs="Times New Roman"/>
                <w:b/>
                <w:sz w:val="26"/>
                <w:szCs w:val="26"/>
                <w:lang w:val="en-US"/>
              </w:rPr>
              <w:t xml:space="preserve"> </w:t>
            </w:r>
            <w:r w:rsidR="003A29BD" w:rsidRPr="00293E08">
              <w:rPr>
                <w:rFonts w:ascii="Times New Roman" w:hAnsi="Times New Roman" w:cs="Times New Roman"/>
                <w:b/>
                <w:sz w:val="26"/>
                <w:szCs w:val="26"/>
                <w:lang w:val="en-US"/>
              </w:rPr>
              <w:lastRenderedPageBreak/>
              <w:t>August</w:t>
            </w:r>
            <w:r w:rsidR="00741003" w:rsidRPr="00293E08">
              <w:rPr>
                <w:rFonts w:ascii="Times New Roman" w:hAnsi="Times New Roman" w:cs="Times New Roman"/>
                <w:b/>
                <w:sz w:val="26"/>
                <w:szCs w:val="26"/>
                <w:lang w:val="en-US"/>
              </w:rPr>
              <w:t xml:space="preserve"> 201</w:t>
            </w:r>
            <w:r w:rsidR="00933DFA" w:rsidRPr="00293E08">
              <w:rPr>
                <w:rFonts w:ascii="Times New Roman" w:hAnsi="Times New Roman" w:cs="Times New Roman"/>
                <w:b/>
                <w:sz w:val="26"/>
                <w:szCs w:val="26"/>
                <w:lang w:val="en-US"/>
              </w:rPr>
              <w:t>9</w:t>
            </w:r>
            <w:r w:rsidR="00741003" w:rsidRPr="00293E08">
              <w:rPr>
                <w:rFonts w:ascii="Times New Roman" w:hAnsi="Times New Roman" w:cs="Times New Roman"/>
                <w:b/>
                <w:sz w:val="26"/>
                <w:szCs w:val="26"/>
                <w:lang w:val="en-US"/>
              </w:rPr>
              <w:t xml:space="preserve">, </w:t>
            </w:r>
            <w:r w:rsidRPr="00293E08">
              <w:rPr>
                <w:rFonts w:ascii="Times New Roman" w:hAnsi="Times New Roman" w:cs="Times New Roman"/>
                <w:b/>
                <w:sz w:val="26"/>
                <w:szCs w:val="26"/>
                <w:lang w:val="en-US"/>
              </w:rPr>
              <w:t>minutes No.</w:t>
            </w:r>
            <w:r w:rsidR="00E748F7" w:rsidRPr="00293E08">
              <w:rPr>
                <w:rFonts w:ascii="Times New Roman" w:hAnsi="Times New Roman" w:cs="Times New Roman"/>
                <w:b/>
                <w:sz w:val="26"/>
                <w:szCs w:val="26"/>
                <w:lang w:val="en-US"/>
              </w:rPr>
              <w:t>3</w:t>
            </w:r>
            <w:r w:rsidR="006538FF" w:rsidRPr="00293E08">
              <w:rPr>
                <w:rFonts w:ascii="Times New Roman" w:hAnsi="Times New Roman" w:cs="Times New Roman"/>
                <w:b/>
                <w:sz w:val="26"/>
                <w:szCs w:val="26"/>
                <w:lang w:val="en-US"/>
              </w:rPr>
              <w:t>5</w:t>
            </w:r>
            <w:r w:rsidR="00736D93" w:rsidRPr="00293E08">
              <w:rPr>
                <w:rFonts w:ascii="Times New Roman" w:hAnsi="Times New Roman" w:cs="Times New Roman"/>
                <w:b/>
                <w:sz w:val="26"/>
                <w:szCs w:val="26"/>
                <w:lang w:val="en-US"/>
              </w:rPr>
              <w:t>7</w:t>
            </w:r>
            <w:r w:rsidR="009D4283" w:rsidRPr="00293E08">
              <w:rPr>
                <w:rFonts w:ascii="Times New Roman" w:hAnsi="Times New Roman" w:cs="Times New Roman"/>
                <w:b/>
                <w:sz w:val="26"/>
                <w:szCs w:val="26"/>
                <w:lang w:val="en-US"/>
              </w:rPr>
              <w:t>6</w:t>
            </w:r>
            <w:r w:rsidR="00741003" w:rsidRPr="00293E08">
              <w:rPr>
                <w:rFonts w:ascii="Times New Roman" w:hAnsi="Times New Roman" w:cs="Times New Roman"/>
                <w:b/>
                <w:sz w:val="26"/>
                <w:szCs w:val="26"/>
                <w:lang w:val="en-US"/>
              </w:rPr>
              <w:t>/201</w:t>
            </w:r>
            <w:r w:rsidR="00933DFA" w:rsidRPr="00293E08">
              <w:rPr>
                <w:rFonts w:ascii="Times New Roman" w:hAnsi="Times New Roman" w:cs="Times New Roman"/>
                <w:b/>
                <w:sz w:val="26"/>
                <w:szCs w:val="26"/>
                <w:lang w:val="en-US"/>
              </w:rPr>
              <w:t>9</w:t>
            </w:r>
            <w:r w:rsidR="00741003" w:rsidRPr="00293E08">
              <w:rPr>
                <w:rFonts w:ascii="Times New Roman" w:hAnsi="Times New Roman" w:cs="Times New Roman"/>
                <w:b/>
                <w:sz w:val="26"/>
                <w:szCs w:val="26"/>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136"/>
        <w:gridCol w:w="2546"/>
      </w:tblGrid>
      <w:tr w:rsidR="0005580F" w:rsidRPr="00293E08"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293E08" w:rsidRDefault="0005580F" w:rsidP="00853E02">
            <w:pPr>
              <w:tabs>
                <w:tab w:val="left" w:pos="142"/>
                <w:tab w:val="left" w:pos="9465"/>
              </w:tabs>
              <w:spacing w:line="252" w:lineRule="auto"/>
              <w:ind w:right="189"/>
              <w:jc w:val="center"/>
              <w:rPr>
                <w:sz w:val="26"/>
                <w:szCs w:val="26"/>
                <w:lang w:val="en-US" w:eastAsia="en-US"/>
              </w:rPr>
            </w:pPr>
            <w:r w:rsidRPr="00293E08">
              <w:rPr>
                <w:sz w:val="26"/>
                <w:szCs w:val="26"/>
                <w:lang w:val="en-US" w:eastAsia="en-US"/>
              </w:rPr>
              <w:lastRenderedPageBreak/>
              <w:t xml:space="preserve">3. Signature </w:t>
            </w:r>
          </w:p>
        </w:tc>
      </w:tr>
      <w:tr w:rsidR="0005580F" w:rsidRPr="00293E08"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293E08" w:rsidRDefault="0005580F" w:rsidP="00853E02">
            <w:pPr>
              <w:pStyle w:val="Default"/>
              <w:spacing w:line="252" w:lineRule="auto"/>
              <w:jc w:val="both"/>
              <w:rPr>
                <w:color w:val="auto"/>
                <w:sz w:val="26"/>
                <w:szCs w:val="26"/>
                <w:lang w:val="en-US"/>
              </w:rPr>
            </w:pPr>
            <w:r w:rsidRPr="00293E08">
              <w:rPr>
                <w:color w:val="auto"/>
                <w:sz w:val="26"/>
                <w:szCs w:val="26"/>
                <w:lang w:val="en-US"/>
              </w:rPr>
              <w:t xml:space="preserve">3.1 Head of Corporate Governance and Shareholder Relations Department (by power of attorney No.119/10-1406 </w:t>
            </w:r>
            <w:r w:rsidRPr="00293E08">
              <w:rPr>
                <w:sz w:val="26"/>
                <w:szCs w:val="26"/>
                <w:lang w:val="en-US"/>
              </w:rPr>
              <w:t>of 19.12.2018)</w:t>
            </w:r>
          </w:p>
          <w:p w:rsidR="0005580F" w:rsidRPr="00293E08" w:rsidRDefault="0005580F" w:rsidP="00853E02">
            <w:pPr>
              <w:spacing w:line="252" w:lineRule="auto"/>
              <w:rPr>
                <w:sz w:val="26"/>
                <w:szCs w:val="26"/>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293E08" w:rsidRDefault="0005580F" w:rsidP="00853E02">
            <w:pPr>
              <w:spacing w:line="252" w:lineRule="auto"/>
              <w:jc w:val="center"/>
              <w:rPr>
                <w:sz w:val="26"/>
                <w:szCs w:val="26"/>
                <w:lang w:val="en-US" w:eastAsia="en-US"/>
              </w:rPr>
            </w:pPr>
            <w:r w:rsidRPr="00293E08">
              <w:rPr>
                <w:sz w:val="26"/>
                <w:szCs w:val="26"/>
                <w:lang w:val="en-US" w:eastAsia="en-US"/>
              </w:rPr>
              <w:t>________________</w:t>
            </w:r>
          </w:p>
          <w:p w:rsidR="0005580F" w:rsidRPr="00293E08" w:rsidRDefault="0005580F" w:rsidP="00853E02">
            <w:pPr>
              <w:spacing w:line="252" w:lineRule="auto"/>
              <w:jc w:val="center"/>
              <w:rPr>
                <w:sz w:val="26"/>
                <w:szCs w:val="26"/>
                <w:lang w:val="en-US" w:eastAsia="en-US"/>
              </w:rPr>
            </w:pPr>
            <w:r w:rsidRPr="00293E08">
              <w:rPr>
                <w:sz w:val="26"/>
                <w:szCs w:val="26"/>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293E08" w:rsidRDefault="0005580F" w:rsidP="00853E02">
            <w:pPr>
              <w:spacing w:line="252" w:lineRule="auto"/>
              <w:rPr>
                <w:sz w:val="26"/>
                <w:szCs w:val="26"/>
                <w:lang w:val="en-US" w:eastAsia="en-US"/>
              </w:rPr>
            </w:pPr>
            <w:r w:rsidRPr="00293E08">
              <w:rPr>
                <w:sz w:val="26"/>
                <w:szCs w:val="26"/>
                <w:lang w:val="en-US" w:eastAsia="en-US"/>
              </w:rPr>
              <w:t>Didenko Ye.Ye.</w:t>
            </w:r>
          </w:p>
          <w:p w:rsidR="0005580F" w:rsidRPr="00293E08" w:rsidRDefault="0005580F" w:rsidP="00853E02">
            <w:pPr>
              <w:spacing w:line="252" w:lineRule="auto"/>
              <w:rPr>
                <w:sz w:val="26"/>
                <w:szCs w:val="26"/>
                <w:lang w:val="en-US" w:eastAsia="en-US"/>
              </w:rPr>
            </w:pPr>
          </w:p>
          <w:p w:rsidR="0005580F" w:rsidRPr="00293E08" w:rsidRDefault="0005580F" w:rsidP="00853E02">
            <w:pPr>
              <w:spacing w:line="252" w:lineRule="auto"/>
              <w:rPr>
                <w:sz w:val="26"/>
                <w:szCs w:val="26"/>
                <w:lang w:val="en-US" w:eastAsia="en-US"/>
              </w:rPr>
            </w:pPr>
          </w:p>
        </w:tc>
      </w:tr>
      <w:tr w:rsidR="0005580F" w:rsidRPr="00293E08"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293E08" w:rsidRDefault="0005580F" w:rsidP="009D4283">
            <w:pPr>
              <w:spacing w:line="252" w:lineRule="auto"/>
              <w:rPr>
                <w:sz w:val="26"/>
                <w:szCs w:val="26"/>
                <w:lang w:val="en-US" w:eastAsia="en-US"/>
              </w:rPr>
            </w:pPr>
            <w:r w:rsidRPr="00293E08">
              <w:rPr>
                <w:sz w:val="26"/>
                <w:szCs w:val="26"/>
                <w:lang w:val="en-US" w:eastAsia="en-US"/>
              </w:rPr>
              <w:t xml:space="preserve">3.2 Date: </w:t>
            </w:r>
            <w:r w:rsidR="00736D93" w:rsidRPr="00293E08">
              <w:rPr>
                <w:sz w:val="26"/>
                <w:szCs w:val="26"/>
                <w:lang w:val="en-US" w:eastAsia="en-US"/>
              </w:rPr>
              <w:t>14</w:t>
            </w:r>
            <w:r w:rsidR="006538FF" w:rsidRPr="00293E08">
              <w:rPr>
                <w:sz w:val="26"/>
                <w:szCs w:val="26"/>
                <w:lang w:val="en-US" w:eastAsia="en-US"/>
              </w:rPr>
              <w:t xml:space="preserve"> </w:t>
            </w:r>
            <w:r w:rsidR="003A29BD" w:rsidRPr="00293E08">
              <w:rPr>
                <w:sz w:val="26"/>
                <w:szCs w:val="26"/>
                <w:lang w:val="en-US" w:eastAsia="en-US"/>
              </w:rPr>
              <w:t xml:space="preserve">August </w:t>
            </w:r>
            <w:r w:rsidRPr="00293E08">
              <w:rPr>
                <w:sz w:val="26"/>
                <w:szCs w:val="26"/>
                <w:lang w:val="en-US" w:eastAsia="en-US"/>
              </w:rPr>
              <w:t>2019</w:t>
            </w:r>
            <w:r w:rsidRPr="00293E08">
              <w:rPr>
                <w:b/>
                <w:bCs/>
                <w:sz w:val="26"/>
                <w:szCs w:val="26"/>
                <w:lang w:val="en-US" w:eastAsia="en-US"/>
              </w:rPr>
              <w:t xml:space="preserve"> </w:t>
            </w:r>
            <w:r w:rsidRPr="00293E08">
              <w:rPr>
                <w:sz w:val="26"/>
                <w:szCs w:val="26"/>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293E08" w:rsidRDefault="0005580F" w:rsidP="00853E02">
            <w:pPr>
              <w:spacing w:line="252" w:lineRule="auto"/>
              <w:jc w:val="center"/>
              <w:rPr>
                <w:sz w:val="26"/>
                <w:szCs w:val="26"/>
                <w:lang w:val="en-US" w:eastAsia="en-US"/>
              </w:rPr>
            </w:pPr>
            <w:r w:rsidRPr="00293E08">
              <w:rPr>
                <w:sz w:val="26"/>
                <w:szCs w:val="26"/>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293E08" w:rsidRDefault="0005580F" w:rsidP="00853E02">
            <w:pPr>
              <w:spacing w:line="252" w:lineRule="auto"/>
              <w:rPr>
                <w:sz w:val="26"/>
                <w:szCs w:val="26"/>
                <w:lang w:val="en-US" w:eastAsia="en-US"/>
              </w:rPr>
            </w:pPr>
          </w:p>
        </w:tc>
      </w:tr>
    </w:tbl>
    <w:p w:rsidR="0005580F" w:rsidRPr="00293E08" w:rsidRDefault="0005580F" w:rsidP="00902817">
      <w:pPr>
        <w:jc w:val="center"/>
        <w:rPr>
          <w:sz w:val="26"/>
          <w:szCs w:val="26"/>
        </w:rPr>
      </w:pPr>
    </w:p>
    <w:sectPr w:rsidR="0005580F" w:rsidRPr="00293E08"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0A2" w:rsidRDefault="005620A2" w:rsidP="00C5099C">
      <w:r>
        <w:separator/>
      </w:r>
    </w:p>
  </w:endnote>
  <w:endnote w:type="continuationSeparator" w:id="0">
    <w:p w:rsidR="005620A2" w:rsidRDefault="005620A2"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0A2" w:rsidRDefault="005620A2" w:rsidP="00C5099C">
      <w:r>
        <w:separator/>
      </w:r>
    </w:p>
  </w:footnote>
  <w:footnote w:type="continuationSeparator" w:id="0">
    <w:p w:rsidR="005620A2" w:rsidRDefault="005620A2"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0AB4"/>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49B6"/>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79F0E37"/>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6484B"/>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1"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9915D83"/>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C0FCD"/>
    <w:multiLevelType w:val="hybridMultilevel"/>
    <w:tmpl w:val="AAB0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0"/>
  </w:num>
  <w:num w:numId="5">
    <w:abstractNumId w:val="4"/>
  </w:num>
  <w:num w:numId="6">
    <w:abstractNumId w:val="5"/>
  </w:num>
  <w:num w:numId="7">
    <w:abstractNumId w:val="11"/>
  </w:num>
  <w:num w:numId="8">
    <w:abstractNumId w:val="13"/>
  </w:num>
  <w:num w:numId="9">
    <w:abstractNumId w:val="3"/>
  </w:num>
  <w:num w:numId="10">
    <w:abstractNumId w:val="16"/>
  </w:num>
  <w:num w:numId="11">
    <w:abstractNumId w:val="2"/>
  </w:num>
  <w:num w:numId="12">
    <w:abstractNumId w:val="6"/>
  </w:num>
  <w:num w:numId="13">
    <w:abstractNumId w:val="17"/>
  </w:num>
  <w:num w:numId="14">
    <w:abstractNumId w:val="9"/>
  </w:num>
  <w:num w:numId="15">
    <w:abstractNumId w:val="1"/>
  </w:num>
  <w:num w:numId="16">
    <w:abstractNumId w:val="0"/>
  </w:num>
  <w:num w:numId="17">
    <w:abstractNumId w:val="14"/>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15640"/>
    <w:rsid w:val="00020C5E"/>
    <w:rsid w:val="00031BAB"/>
    <w:rsid w:val="00033F6A"/>
    <w:rsid w:val="00036FF9"/>
    <w:rsid w:val="00046601"/>
    <w:rsid w:val="000528AB"/>
    <w:rsid w:val="0005580F"/>
    <w:rsid w:val="000655FF"/>
    <w:rsid w:val="000812B4"/>
    <w:rsid w:val="00084028"/>
    <w:rsid w:val="000854C5"/>
    <w:rsid w:val="00087563"/>
    <w:rsid w:val="000878AC"/>
    <w:rsid w:val="00087DA5"/>
    <w:rsid w:val="00091224"/>
    <w:rsid w:val="0009636A"/>
    <w:rsid w:val="000A1BE9"/>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4370"/>
    <w:rsid w:val="00235C54"/>
    <w:rsid w:val="00236918"/>
    <w:rsid w:val="00240E0E"/>
    <w:rsid w:val="0026172E"/>
    <w:rsid w:val="00264E98"/>
    <w:rsid w:val="00265D89"/>
    <w:rsid w:val="00267CD9"/>
    <w:rsid w:val="00271F6A"/>
    <w:rsid w:val="00272130"/>
    <w:rsid w:val="00273C1B"/>
    <w:rsid w:val="00273E6A"/>
    <w:rsid w:val="00275923"/>
    <w:rsid w:val="002851B0"/>
    <w:rsid w:val="0028598D"/>
    <w:rsid w:val="002904FF"/>
    <w:rsid w:val="00290D0F"/>
    <w:rsid w:val="00290EAF"/>
    <w:rsid w:val="00293E08"/>
    <w:rsid w:val="00294FB8"/>
    <w:rsid w:val="00295F91"/>
    <w:rsid w:val="002C134B"/>
    <w:rsid w:val="002C7F40"/>
    <w:rsid w:val="002D2643"/>
    <w:rsid w:val="002D3460"/>
    <w:rsid w:val="002D6A9E"/>
    <w:rsid w:val="002E2769"/>
    <w:rsid w:val="002E2C8F"/>
    <w:rsid w:val="002F5B8F"/>
    <w:rsid w:val="003054EE"/>
    <w:rsid w:val="003146A8"/>
    <w:rsid w:val="00316754"/>
    <w:rsid w:val="00322AEC"/>
    <w:rsid w:val="00322B7B"/>
    <w:rsid w:val="00322BD5"/>
    <w:rsid w:val="003303DF"/>
    <w:rsid w:val="003318D5"/>
    <w:rsid w:val="00340BA2"/>
    <w:rsid w:val="00352EAE"/>
    <w:rsid w:val="00356FF6"/>
    <w:rsid w:val="00361703"/>
    <w:rsid w:val="0036257B"/>
    <w:rsid w:val="00364A53"/>
    <w:rsid w:val="00372AE9"/>
    <w:rsid w:val="003914CE"/>
    <w:rsid w:val="00393C50"/>
    <w:rsid w:val="00396CF0"/>
    <w:rsid w:val="003A0253"/>
    <w:rsid w:val="003A29BD"/>
    <w:rsid w:val="003A3479"/>
    <w:rsid w:val="003A5EF6"/>
    <w:rsid w:val="003B18CF"/>
    <w:rsid w:val="003D4607"/>
    <w:rsid w:val="003D7747"/>
    <w:rsid w:val="003F0A20"/>
    <w:rsid w:val="00401D3B"/>
    <w:rsid w:val="00402154"/>
    <w:rsid w:val="00411DDA"/>
    <w:rsid w:val="00413B92"/>
    <w:rsid w:val="0041436D"/>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75D56"/>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203B"/>
    <w:rsid w:val="00512DC2"/>
    <w:rsid w:val="0051482D"/>
    <w:rsid w:val="00516D7E"/>
    <w:rsid w:val="00524BEA"/>
    <w:rsid w:val="005342A7"/>
    <w:rsid w:val="00544373"/>
    <w:rsid w:val="00547776"/>
    <w:rsid w:val="0055168B"/>
    <w:rsid w:val="00552531"/>
    <w:rsid w:val="005546E2"/>
    <w:rsid w:val="005620A2"/>
    <w:rsid w:val="00566266"/>
    <w:rsid w:val="00570456"/>
    <w:rsid w:val="00573881"/>
    <w:rsid w:val="00573D3B"/>
    <w:rsid w:val="00580C67"/>
    <w:rsid w:val="00586B7D"/>
    <w:rsid w:val="005875C8"/>
    <w:rsid w:val="00591B51"/>
    <w:rsid w:val="005947D9"/>
    <w:rsid w:val="005A0F7C"/>
    <w:rsid w:val="005A757E"/>
    <w:rsid w:val="005B0B5B"/>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38FF"/>
    <w:rsid w:val="00655BF7"/>
    <w:rsid w:val="006634C5"/>
    <w:rsid w:val="00672C8F"/>
    <w:rsid w:val="00680DC8"/>
    <w:rsid w:val="0068193A"/>
    <w:rsid w:val="00683906"/>
    <w:rsid w:val="00684705"/>
    <w:rsid w:val="0068696B"/>
    <w:rsid w:val="00687F83"/>
    <w:rsid w:val="006A7084"/>
    <w:rsid w:val="006C3F57"/>
    <w:rsid w:val="006F08DD"/>
    <w:rsid w:val="00703358"/>
    <w:rsid w:val="0070694D"/>
    <w:rsid w:val="00710246"/>
    <w:rsid w:val="00714127"/>
    <w:rsid w:val="0071495A"/>
    <w:rsid w:val="00735A80"/>
    <w:rsid w:val="00736D93"/>
    <w:rsid w:val="007406B8"/>
    <w:rsid w:val="00741003"/>
    <w:rsid w:val="00743BAE"/>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3601"/>
    <w:rsid w:val="008066B5"/>
    <w:rsid w:val="00815FFD"/>
    <w:rsid w:val="00822BB9"/>
    <w:rsid w:val="008276FB"/>
    <w:rsid w:val="008361AE"/>
    <w:rsid w:val="00842A27"/>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87A9B"/>
    <w:rsid w:val="0089796E"/>
    <w:rsid w:val="008A5F53"/>
    <w:rsid w:val="008A6A06"/>
    <w:rsid w:val="008A6ACB"/>
    <w:rsid w:val="008B050F"/>
    <w:rsid w:val="008C08E0"/>
    <w:rsid w:val="008C1126"/>
    <w:rsid w:val="008C499E"/>
    <w:rsid w:val="008C7F2D"/>
    <w:rsid w:val="008D32C2"/>
    <w:rsid w:val="008D6244"/>
    <w:rsid w:val="008E1475"/>
    <w:rsid w:val="008E15B1"/>
    <w:rsid w:val="008E4B5C"/>
    <w:rsid w:val="008E6672"/>
    <w:rsid w:val="008F0867"/>
    <w:rsid w:val="008F0C8A"/>
    <w:rsid w:val="008F10E8"/>
    <w:rsid w:val="008F5010"/>
    <w:rsid w:val="008F71E7"/>
    <w:rsid w:val="00902817"/>
    <w:rsid w:val="00904BB7"/>
    <w:rsid w:val="009056AD"/>
    <w:rsid w:val="00910208"/>
    <w:rsid w:val="009116BA"/>
    <w:rsid w:val="00914041"/>
    <w:rsid w:val="00922573"/>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D4283"/>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60599"/>
    <w:rsid w:val="00A8319A"/>
    <w:rsid w:val="00A85559"/>
    <w:rsid w:val="00A92232"/>
    <w:rsid w:val="00A92372"/>
    <w:rsid w:val="00A92CF2"/>
    <w:rsid w:val="00AA0667"/>
    <w:rsid w:val="00AA1431"/>
    <w:rsid w:val="00AA172E"/>
    <w:rsid w:val="00AB08E7"/>
    <w:rsid w:val="00AB15FC"/>
    <w:rsid w:val="00AB56DE"/>
    <w:rsid w:val="00AD3E9C"/>
    <w:rsid w:val="00AE6439"/>
    <w:rsid w:val="00AF0C87"/>
    <w:rsid w:val="00AF384B"/>
    <w:rsid w:val="00B01511"/>
    <w:rsid w:val="00B060B5"/>
    <w:rsid w:val="00B10F87"/>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364A"/>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C1B8E"/>
    <w:rsid w:val="00DF0432"/>
    <w:rsid w:val="00DF4DAC"/>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8BA"/>
    <w:rsid w:val="00E96B69"/>
    <w:rsid w:val="00E9711F"/>
    <w:rsid w:val="00EA729C"/>
    <w:rsid w:val="00EB4856"/>
    <w:rsid w:val="00EC1954"/>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5C7"/>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F609E-A2CF-4F25-BDA0-B7D21CC1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55</cp:revision>
  <cp:lastPrinted>2019-02-26T07:31:00Z</cp:lastPrinted>
  <dcterms:created xsi:type="dcterms:W3CDTF">2019-03-07T08:14:00Z</dcterms:created>
  <dcterms:modified xsi:type="dcterms:W3CDTF">2019-08-14T10:14:00Z</dcterms:modified>
</cp:coreProperties>
</file>