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B81" w:rsidRPr="00203DF5" w:rsidRDefault="00A00B81" w:rsidP="00A00B81">
      <w:pPr>
        <w:pStyle w:val="ConsPlusNormal"/>
        <w:jc w:val="center"/>
        <w:rPr>
          <w:rFonts w:ascii="Times New Roman" w:hAnsi="Times New Roman" w:cs="Times New Roman"/>
          <w:b/>
          <w:szCs w:val="22"/>
          <w:lang w:val="en-US"/>
        </w:rPr>
      </w:pPr>
      <w:r w:rsidRPr="00203DF5">
        <w:rPr>
          <w:rFonts w:ascii="Times New Roman" w:hAnsi="Times New Roman" w:cs="Times New Roman"/>
          <w:b/>
          <w:szCs w:val="22"/>
          <w:lang w:val="en-US"/>
        </w:rPr>
        <w:t>Statement of material fact</w:t>
      </w:r>
      <w:r w:rsidRPr="00203DF5">
        <w:rPr>
          <w:rFonts w:ascii="Times New Roman" w:hAnsi="Times New Roman" w:cs="Times New Roman"/>
          <w:b/>
          <w:bCs/>
          <w:szCs w:val="22"/>
          <w:lang w:val="en-US"/>
        </w:rPr>
        <w:t>/</w:t>
      </w:r>
      <w:r w:rsidRPr="00203DF5">
        <w:rPr>
          <w:rFonts w:ascii="Times New Roman" w:hAnsi="Times New Roman" w:cs="Times New Roman"/>
          <w:b/>
          <w:szCs w:val="22"/>
          <w:lang w:val="en-US"/>
        </w:rPr>
        <w:t>Disclosure of insider information</w:t>
      </w:r>
    </w:p>
    <w:p w:rsidR="00A00B81" w:rsidRPr="00203DF5" w:rsidRDefault="00A00B81" w:rsidP="00A00B81">
      <w:pPr>
        <w:jc w:val="center"/>
        <w:rPr>
          <w:b/>
          <w:bCs/>
          <w:sz w:val="22"/>
          <w:szCs w:val="22"/>
          <w:shd w:val="clear" w:color="auto" w:fill="FFFFFF"/>
          <w:lang w:val="en-US"/>
        </w:rPr>
      </w:pPr>
      <w:r w:rsidRPr="00203DF5">
        <w:rPr>
          <w:b/>
          <w:bCs/>
          <w:sz w:val="22"/>
          <w:szCs w:val="22"/>
          <w:shd w:val="clear" w:color="auto" w:fill="FFFFFF"/>
          <w:lang w:val="en-US"/>
        </w:rPr>
        <w:t>“</w:t>
      </w:r>
      <w:r w:rsidR="00520FE5" w:rsidRPr="00203DF5">
        <w:rPr>
          <w:b/>
          <w:bCs/>
          <w:sz w:val="22"/>
          <w:szCs w:val="22"/>
          <w:shd w:val="clear" w:color="auto" w:fill="FFFFFF"/>
          <w:lang w:val="en-US"/>
        </w:rPr>
        <w:t>I</w:t>
      </w:r>
      <w:r w:rsidRPr="00203DF5">
        <w:rPr>
          <w:b/>
          <w:bCs/>
          <w:sz w:val="22"/>
          <w:szCs w:val="22"/>
          <w:shd w:val="clear" w:color="auto" w:fill="FFFFFF"/>
          <w:lang w:val="en-US"/>
        </w:rPr>
        <w:t xml:space="preserve">ncome accrued and (or) paid </w:t>
      </w:r>
      <w:r w:rsidR="00151769" w:rsidRPr="00151769">
        <w:rPr>
          <w:b/>
          <w:bCs/>
          <w:sz w:val="22"/>
          <w:szCs w:val="22"/>
          <w:shd w:val="clear" w:color="auto" w:fill="FFFFFF"/>
          <w:lang w:val="en-US"/>
        </w:rPr>
        <w:t>from</w:t>
      </w:r>
      <w:r w:rsidRPr="00203DF5">
        <w:rPr>
          <w:b/>
          <w:bCs/>
          <w:sz w:val="22"/>
          <w:szCs w:val="22"/>
          <w:shd w:val="clear" w:color="auto" w:fill="FFFFFF"/>
          <w:lang w:val="en-US"/>
        </w:rPr>
        <w:t xml:space="preserve"> the issuer’s securities”</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7"/>
        <w:gridCol w:w="854"/>
        <w:gridCol w:w="1976"/>
        <w:gridCol w:w="2840"/>
      </w:tblGrid>
      <w:tr w:rsidR="00A00B81" w:rsidRPr="00203DF5" w:rsidTr="00203DF5">
        <w:tc>
          <w:tcPr>
            <w:tcW w:w="11057" w:type="dxa"/>
            <w:gridSpan w:val="4"/>
            <w:tcBorders>
              <w:top w:val="single" w:sz="4" w:space="0" w:color="auto"/>
              <w:left w:val="single" w:sz="4" w:space="0" w:color="auto"/>
              <w:bottom w:val="single" w:sz="4" w:space="0" w:color="auto"/>
              <w:right w:val="single" w:sz="4" w:space="0" w:color="auto"/>
            </w:tcBorders>
            <w:hideMark/>
          </w:tcPr>
          <w:p w:rsidR="00A00B81" w:rsidRPr="00203DF5" w:rsidRDefault="00A00B81" w:rsidP="00A00B81">
            <w:pPr>
              <w:pStyle w:val="a4"/>
              <w:numPr>
                <w:ilvl w:val="0"/>
                <w:numId w:val="1"/>
              </w:numPr>
              <w:autoSpaceDE/>
              <w:autoSpaceDN/>
              <w:spacing w:line="252" w:lineRule="auto"/>
              <w:ind w:left="0" w:firstLine="0"/>
              <w:jc w:val="center"/>
              <w:rPr>
                <w:sz w:val="22"/>
                <w:szCs w:val="22"/>
              </w:rPr>
            </w:pPr>
            <w:proofErr w:type="spellStart"/>
            <w:r w:rsidRPr="00203DF5">
              <w:rPr>
                <w:sz w:val="22"/>
                <w:szCs w:val="22"/>
              </w:rPr>
              <w:t>General</w:t>
            </w:r>
            <w:proofErr w:type="spellEnd"/>
            <w:r w:rsidRPr="00203DF5">
              <w:rPr>
                <w:sz w:val="22"/>
                <w:szCs w:val="22"/>
              </w:rPr>
              <w:t xml:space="preserve"> </w:t>
            </w:r>
            <w:proofErr w:type="spellStart"/>
            <w:r w:rsidRPr="00203DF5">
              <w:rPr>
                <w:sz w:val="22"/>
                <w:szCs w:val="22"/>
              </w:rPr>
              <w:t>information</w:t>
            </w:r>
            <w:proofErr w:type="spellEnd"/>
          </w:p>
        </w:tc>
      </w:tr>
      <w:tr w:rsidR="00A00B81" w:rsidRPr="00151769" w:rsidTr="00203DF5">
        <w:tblPrEx>
          <w:tblCellMar>
            <w:left w:w="108" w:type="dxa"/>
            <w:right w:w="108" w:type="dxa"/>
          </w:tblCellMar>
        </w:tblPrEx>
        <w:trPr>
          <w:trHeight w:val="599"/>
        </w:trPr>
        <w:tc>
          <w:tcPr>
            <w:tcW w:w="5387" w:type="dxa"/>
            <w:tcBorders>
              <w:top w:val="single" w:sz="4" w:space="0" w:color="auto"/>
              <w:left w:val="single" w:sz="4" w:space="0" w:color="auto"/>
              <w:bottom w:val="single" w:sz="4" w:space="0" w:color="auto"/>
              <w:right w:val="single" w:sz="4" w:space="0" w:color="auto"/>
            </w:tcBorders>
            <w:hideMark/>
          </w:tcPr>
          <w:p w:rsidR="00A00B81" w:rsidRPr="00203DF5" w:rsidRDefault="00A00B81" w:rsidP="00520FE5">
            <w:pPr>
              <w:pStyle w:val="a4"/>
              <w:spacing w:line="252" w:lineRule="auto"/>
              <w:rPr>
                <w:sz w:val="22"/>
                <w:szCs w:val="22"/>
                <w:lang w:val="en-US"/>
              </w:rPr>
            </w:pPr>
            <w:r w:rsidRPr="00203DF5">
              <w:rPr>
                <w:sz w:val="22"/>
                <w:szCs w:val="22"/>
                <w:lang w:val="en-US"/>
              </w:rPr>
              <w:t xml:space="preserve">1.1  Full business name of the issuer </w:t>
            </w:r>
            <w:r w:rsidR="00520FE5" w:rsidRPr="00203DF5">
              <w:rPr>
                <w:sz w:val="22"/>
                <w:szCs w:val="22"/>
                <w:lang w:val="en-US"/>
              </w:rPr>
              <w:t>(for non-profit companies –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A00B81" w:rsidRPr="00203DF5" w:rsidRDefault="00A00B81" w:rsidP="00A517E8">
            <w:pPr>
              <w:pStyle w:val="a4"/>
              <w:spacing w:line="252" w:lineRule="auto"/>
              <w:rPr>
                <w:b/>
                <w:sz w:val="22"/>
                <w:szCs w:val="22"/>
                <w:lang w:val="en-US"/>
              </w:rPr>
            </w:pPr>
            <w:r w:rsidRPr="00203DF5">
              <w:rPr>
                <w:b/>
                <w:sz w:val="22"/>
                <w:szCs w:val="22"/>
                <w:lang w:val="en-US"/>
              </w:rPr>
              <w:t>Public joint stock company of power industry  and electrification of Kuban</w:t>
            </w:r>
          </w:p>
        </w:tc>
      </w:tr>
      <w:tr w:rsidR="00A00B81" w:rsidRPr="00203DF5" w:rsidTr="00203DF5">
        <w:tblPrEx>
          <w:tblCellMar>
            <w:left w:w="108" w:type="dxa"/>
            <w:right w:w="108" w:type="dxa"/>
          </w:tblCellMar>
        </w:tblPrEx>
        <w:tc>
          <w:tcPr>
            <w:tcW w:w="5387" w:type="dxa"/>
            <w:tcBorders>
              <w:top w:val="single" w:sz="4" w:space="0" w:color="auto"/>
              <w:left w:val="single" w:sz="4" w:space="0" w:color="auto"/>
              <w:bottom w:val="single" w:sz="4" w:space="0" w:color="auto"/>
              <w:right w:val="single" w:sz="4" w:space="0" w:color="auto"/>
            </w:tcBorders>
            <w:hideMark/>
          </w:tcPr>
          <w:p w:rsidR="00A00B81" w:rsidRPr="00203DF5" w:rsidRDefault="00A00B81" w:rsidP="00A517E8">
            <w:pPr>
              <w:pStyle w:val="a4"/>
              <w:spacing w:line="252" w:lineRule="auto"/>
              <w:rPr>
                <w:sz w:val="22"/>
                <w:szCs w:val="22"/>
                <w:lang w:val="en-US"/>
              </w:rPr>
            </w:pPr>
            <w:r w:rsidRPr="00203DF5">
              <w:rPr>
                <w:sz w:val="22"/>
                <w:szCs w:val="22"/>
                <w:lang w:val="en-US"/>
              </w:rPr>
              <w:t>1.2. Abbreviated business name of the issuer</w:t>
            </w:r>
          </w:p>
        </w:tc>
        <w:tc>
          <w:tcPr>
            <w:tcW w:w="5670" w:type="dxa"/>
            <w:gridSpan w:val="3"/>
            <w:tcBorders>
              <w:top w:val="single" w:sz="4" w:space="0" w:color="auto"/>
              <w:left w:val="single" w:sz="4" w:space="0" w:color="auto"/>
              <w:bottom w:val="single" w:sz="4" w:space="0" w:color="auto"/>
              <w:right w:val="single" w:sz="4" w:space="0" w:color="auto"/>
            </w:tcBorders>
            <w:hideMark/>
          </w:tcPr>
          <w:p w:rsidR="00A00B81" w:rsidRPr="00203DF5" w:rsidRDefault="00A00B81" w:rsidP="00A517E8">
            <w:pPr>
              <w:pStyle w:val="a4"/>
              <w:spacing w:line="252" w:lineRule="auto"/>
              <w:rPr>
                <w:b/>
                <w:sz w:val="22"/>
                <w:szCs w:val="22"/>
              </w:rPr>
            </w:pPr>
            <w:r w:rsidRPr="00203DF5">
              <w:rPr>
                <w:b/>
                <w:sz w:val="22"/>
                <w:szCs w:val="22"/>
                <w:lang w:val="en-US"/>
              </w:rPr>
              <w:t>Kubanenergo PJSC</w:t>
            </w:r>
          </w:p>
        </w:tc>
      </w:tr>
      <w:tr w:rsidR="00A00B81" w:rsidRPr="00203DF5" w:rsidTr="00203DF5">
        <w:tblPrEx>
          <w:tblCellMar>
            <w:left w:w="108" w:type="dxa"/>
            <w:right w:w="108" w:type="dxa"/>
          </w:tblCellMar>
        </w:tblPrEx>
        <w:tc>
          <w:tcPr>
            <w:tcW w:w="5387" w:type="dxa"/>
            <w:tcBorders>
              <w:top w:val="single" w:sz="4" w:space="0" w:color="auto"/>
              <w:left w:val="single" w:sz="4" w:space="0" w:color="auto"/>
              <w:bottom w:val="single" w:sz="4" w:space="0" w:color="auto"/>
              <w:right w:val="single" w:sz="4" w:space="0" w:color="auto"/>
            </w:tcBorders>
            <w:hideMark/>
          </w:tcPr>
          <w:p w:rsidR="00A00B81" w:rsidRPr="00203DF5" w:rsidRDefault="00A00B81" w:rsidP="00A517E8">
            <w:pPr>
              <w:pStyle w:val="a4"/>
              <w:spacing w:line="252" w:lineRule="auto"/>
              <w:rPr>
                <w:sz w:val="22"/>
                <w:szCs w:val="22"/>
                <w:lang w:val="en-US"/>
              </w:rPr>
            </w:pPr>
            <w:r w:rsidRPr="00203DF5">
              <w:rPr>
                <w:sz w:val="22"/>
                <w:szCs w:val="22"/>
              </w:rPr>
              <w:t xml:space="preserve">1.3. </w:t>
            </w:r>
            <w:r w:rsidRPr="00203DF5">
              <w:rPr>
                <w:sz w:val="22"/>
                <w:szCs w:val="22"/>
                <w:lang w:val="en-US"/>
              </w:rPr>
              <w:t>Location of the issuer</w:t>
            </w:r>
          </w:p>
        </w:tc>
        <w:tc>
          <w:tcPr>
            <w:tcW w:w="5670" w:type="dxa"/>
            <w:gridSpan w:val="3"/>
            <w:tcBorders>
              <w:top w:val="single" w:sz="4" w:space="0" w:color="auto"/>
              <w:left w:val="single" w:sz="4" w:space="0" w:color="auto"/>
              <w:bottom w:val="single" w:sz="4" w:space="0" w:color="auto"/>
              <w:right w:val="single" w:sz="4" w:space="0" w:color="auto"/>
            </w:tcBorders>
            <w:hideMark/>
          </w:tcPr>
          <w:p w:rsidR="00A00B81" w:rsidRPr="00203DF5" w:rsidRDefault="00A00B81" w:rsidP="00A517E8">
            <w:pPr>
              <w:spacing w:line="252" w:lineRule="auto"/>
              <w:rPr>
                <w:b/>
                <w:sz w:val="22"/>
                <w:szCs w:val="22"/>
                <w:lang w:val="en-US" w:eastAsia="en-US"/>
              </w:rPr>
            </w:pPr>
            <w:r w:rsidRPr="00203DF5">
              <w:rPr>
                <w:b/>
                <w:sz w:val="22"/>
                <w:szCs w:val="22"/>
                <w:lang w:val="en-US" w:eastAsia="en-US"/>
              </w:rPr>
              <w:t>Krasnodar, Russian Federation</w:t>
            </w:r>
          </w:p>
        </w:tc>
      </w:tr>
      <w:tr w:rsidR="00A00B81" w:rsidRPr="00203DF5" w:rsidTr="00203DF5">
        <w:tblPrEx>
          <w:tblCellMar>
            <w:left w:w="108" w:type="dxa"/>
            <w:right w:w="108" w:type="dxa"/>
          </w:tblCellMar>
        </w:tblPrEx>
        <w:tc>
          <w:tcPr>
            <w:tcW w:w="5387" w:type="dxa"/>
            <w:tcBorders>
              <w:top w:val="single" w:sz="4" w:space="0" w:color="auto"/>
              <w:left w:val="single" w:sz="4" w:space="0" w:color="auto"/>
              <w:bottom w:val="single" w:sz="4" w:space="0" w:color="auto"/>
              <w:right w:val="single" w:sz="4" w:space="0" w:color="auto"/>
            </w:tcBorders>
            <w:hideMark/>
          </w:tcPr>
          <w:p w:rsidR="00A00B81" w:rsidRPr="00203DF5" w:rsidRDefault="00A00B81" w:rsidP="00A517E8">
            <w:pPr>
              <w:pStyle w:val="a4"/>
              <w:spacing w:line="252" w:lineRule="auto"/>
              <w:rPr>
                <w:sz w:val="22"/>
                <w:szCs w:val="22"/>
                <w:lang w:val="en-US"/>
              </w:rPr>
            </w:pPr>
            <w:r w:rsidRPr="00203DF5">
              <w:rPr>
                <w:sz w:val="22"/>
                <w:szCs w:val="22"/>
                <w:lang w:val="en-US"/>
              </w:rPr>
              <w:t>1.4. PSRN of the issuer</w:t>
            </w:r>
          </w:p>
        </w:tc>
        <w:tc>
          <w:tcPr>
            <w:tcW w:w="5670" w:type="dxa"/>
            <w:gridSpan w:val="3"/>
            <w:tcBorders>
              <w:top w:val="single" w:sz="4" w:space="0" w:color="auto"/>
              <w:left w:val="single" w:sz="4" w:space="0" w:color="auto"/>
              <w:bottom w:val="single" w:sz="4" w:space="0" w:color="auto"/>
              <w:right w:val="single" w:sz="4" w:space="0" w:color="auto"/>
            </w:tcBorders>
            <w:hideMark/>
          </w:tcPr>
          <w:p w:rsidR="00A00B81" w:rsidRPr="00203DF5" w:rsidRDefault="00A00B81" w:rsidP="00A517E8">
            <w:pPr>
              <w:pStyle w:val="a4"/>
              <w:spacing w:line="252" w:lineRule="auto"/>
              <w:rPr>
                <w:b/>
                <w:sz w:val="22"/>
                <w:szCs w:val="22"/>
              </w:rPr>
            </w:pPr>
            <w:r w:rsidRPr="00203DF5">
              <w:rPr>
                <w:b/>
                <w:sz w:val="22"/>
                <w:szCs w:val="22"/>
              </w:rPr>
              <w:t>1022301427268</w:t>
            </w:r>
          </w:p>
        </w:tc>
      </w:tr>
      <w:tr w:rsidR="00A00B81" w:rsidRPr="00203DF5" w:rsidTr="00203DF5">
        <w:tblPrEx>
          <w:tblCellMar>
            <w:left w:w="108" w:type="dxa"/>
            <w:right w:w="108" w:type="dxa"/>
          </w:tblCellMar>
        </w:tblPrEx>
        <w:tc>
          <w:tcPr>
            <w:tcW w:w="5387" w:type="dxa"/>
            <w:tcBorders>
              <w:top w:val="single" w:sz="4" w:space="0" w:color="auto"/>
              <w:left w:val="single" w:sz="4" w:space="0" w:color="auto"/>
              <w:bottom w:val="single" w:sz="4" w:space="0" w:color="auto"/>
              <w:right w:val="single" w:sz="4" w:space="0" w:color="auto"/>
            </w:tcBorders>
            <w:hideMark/>
          </w:tcPr>
          <w:p w:rsidR="00A00B81" w:rsidRPr="00203DF5" w:rsidRDefault="00A00B81" w:rsidP="00A517E8">
            <w:pPr>
              <w:pStyle w:val="a4"/>
              <w:spacing w:line="252" w:lineRule="auto"/>
              <w:rPr>
                <w:sz w:val="22"/>
                <w:szCs w:val="22"/>
                <w:lang w:val="en-US"/>
              </w:rPr>
            </w:pPr>
            <w:r w:rsidRPr="00203DF5">
              <w:rPr>
                <w:sz w:val="22"/>
                <w:szCs w:val="22"/>
                <w:lang w:val="en-US"/>
              </w:rPr>
              <w:t>1.5. TIN of the issuer</w:t>
            </w:r>
          </w:p>
        </w:tc>
        <w:tc>
          <w:tcPr>
            <w:tcW w:w="5670" w:type="dxa"/>
            <w:gridSpan w:val="3"/>
            <w:tcBorders>
              <w:top w:val="single" w:sz="4" w:space="0" w:color="auto"/>
              <w:left w:val="single" w:sz="4" w:space="0" w:color="auto"/>
              <w:bottom w:val="single" w:sz="4" w:space="0" w:color="auto"/>
              <w:right w:val="single" w:sz="4" w:space="0" w:color="auto"/>
            </w:tcBorders>
            <w:hideMark/>
          </w:tcPr>
          <w:p w:rsidR="00A00B81" w:rsidRPr="00203DF5" w:rsidRDefault="00A00B81" w:rsidP="00A517E8">
            <w:pPr>
              <w:pStyle w:val="a4"/>
              <w:spacing w:line="252" w:lineRule="auto"/>
              <w:rPr>
                <w:b/>
                <w:sz w:val="22"/>
                <w:szCs w:val="22"/>
              </w:rPr>
            </w:pPr>
            <w:r w:rsidRPr="00203DF5">
              <w:rPr>
                <w:b/>
                <w:sz w:val="22"/>
                <w:szCs w:val="22"/>
              </w:rPr>
              <w:t>2309001660</w:t>
            </w:r>
          </w:p>
        </w:tc>
      </w:tr>
      <w:tr w:rsidR="00A00B81" w:rsidRPr="00203DF5" w:rsidTr="00203DF5">
        <w:tblPrEx>
          <w:tblCellMar>
            <w:left w:w="108" w:type="dxa"/>
            <w:right w:w="108" w:type="dxa"/>
          </w:tblCellMar>
        </w:tblPrEx>
        <w:tc>
          <w:tcPr>
            <w:tcW w:w="5387" w:type="dxa"/>
            <w:tcBorders>
              <w:top w:val="single" w:sz="4" w:space="0" w:color="auto"/>
              <w:left w:val="single" w:sz="4" w:space="0" w:color="auto"/>
              <w:bottom w:val="single" w:sz="4" w:space="0" w:color="auto"/>
              <w:right w:val="single" w:sz="4" w:space="0" w:color="auto"/>
            </w:tcBorders>
            <w:hideMark/>
          </w:tcPr>
          <w:p w:rsidR="00A00B81" w:rsidRPr="00203DF5" w:rsidRDefault="00A00B81" w:rsidP="00A517E8">
            <w:pPr>
              <w:pStyle w:val="a4"/>
              <w:spacing w:line="252" w:lineRule="auto"/>
              <w:rPr>
                <w:sz w:val="22"/>
                <w:szCs w:val="22"/>
                <w:lang w:val="en-US"/>
              </w:rPr>
            </w:pPr>
            <w:r w:rsidRPr="00203DF5">
              <w:rPr>
                <w:sz w:val="22"/>
                <w:szCs w:val="22"/>
                <w:lang w:val="en-US"/>
              </w:rPr>
              <w:t xml:space="preserve">1.6. The </w:t>
            </w:r>
            <w:r w:rsidRPr="00203DF5">
              <w:rPr>
                <w:sz w:val="22"/>
                <w:szCs w:val="22"/>
                <w:lang w:val="en-GB"/>
              </w:rPr>
              <w:t>issuer’s unique code assigned by the registering body</w:t>
            </w:r>
          </w:p>
        </w:tc>
        <w:tc>
          <w:tcPr>
            <w:tcW w:w="5670" w:type="dxa"/>
            <w:gridSpan w:val="3"/>
            <w:tcBorders>
              <w:top w:val="single" w:sz="4" w:space="0" w:color="auto"/>
              <w:left w:val="single" w:sz="4" w:space="0" w:color="auto"/>
              <w:bottom w:val="single" w:sz="4" w:space="0" w:color="auto"/>
              <w:right w:val="single" w:sz="4" w:space="0" w:color="auto"/>
            </w:tcBorders>
            <w:hideMark/>
          </w:tcPr>
          <w:p w:rsidR="00A00B81" w:rsidRPr="00203DF5" w:rsidRDefault="00A00B81" w:rsidP="00A517E8">
            <w:pPr>
              <w:pStyle w:val="a4"/>
              <w:spacing w:line="252" w:lineRule="auto"/>
              <w:rPr>
                <w:b/>
                <w:sz w:val="22"/>
                <w:szCs w:val="22"/>
                <w:lang w:val="en-US"/>
              </w:rPr>
            </w:pPr>
            <w:r w:rsidRPr="00203DF5">
              <w:rPr>
                <w:b/>
                <w:sz w:val="22"/>
                <w:szCs w:val="22"/>
              </w:rPr>
              <w:t>00063-</w:t>
            </w:r>
            <w:r w:rsidRPr="00203DF5">
              <w:rPr>
                <w:b/>
                <w:sz w:val="22"/>
                <w:szCs w:val="22"/>
                <w:lang w:val="en-US"/>
              </w:rPr>
              <w:t>A</w:t>
            </w:r>
          </w:p>
        </w:tc>
      </w:tr>
      <w:tr w:rsidR="00A00B81" w:rsidRPr="00151769" w:rsidTr="00203DF5">
        <w:tblPrEx>
          <w:tblCellMar>
            <w:left w:w="108" w:type="dxa"/>
            <w:right w:w="108" w:type="dxa"/>
          </w:tblCellMar>
        </w:tblPrEx>
        <w:tc>
          <w:tcPr>
            <w:tcW w:w="5387" w:type="dxa"/>
            <w:tcBorders>
              <w:top w:val="single" w:sz="4" w:space="0" w:color="auto"/>
              <w:left w:val="single" w:sz="4" w:space="0" w:color="auto"/>
              <w:bottom w:val="single" w:sz="4" w:space="0" w:color="auto"/>
              <w:right w:val="single" w:sz="4" w:space="0" w:color="auto"/>
            </w:tcBorders>
            <w:hideMark/>
          </w:tcPr>
          <w:p w:rsidR="00A00B81" w:rsidRPr="00203DF5" w:rsidRDefault="00A00B81" w:rsidP="00A517E8">
            <w:pPr>
              <w:pStyle w:val="a4"/>
              <w:spacing w:line="252" w:lineRule="auto"/>
              <w:rPr>
                <w:sz w:val="22"/>
                <w:szCs w:val="22"/>
                <w:lang w:val="en-US"/>
              </w:rPr>
            </w:pPr>
            <w:r w:rsidRPr="00203DF5">
              <w:rPr>
                <w:sz w:val="22"/>
                <w:szCs w:val="22"/>
                <w:lang w:val="en-US"/>
              </w:rPr>
              <w:t xml:space="preserve">1.7. Website used by the issuer for information disclosure </w:t>
            </w:r>
          </w:p>
        </w:tc>
        <w:tc>
          <w:tcPr>
            <w:tcW w:w="5670" w:type="dxa"/>
            <w:gridSpan w:val="3"/>
            <w:tcBorders>
              <w:top w:val="single" w:sz="4" w:space="0" w:color="auto"/>
              <w:left w:val="single" w:sz="4" w:space="0" w:color="auto"/>
              <w:bottom w:val="single" w:sz="4" w:space="0" w:color="auto"/>
              <w:right w:val="single" w:sz="4" w:space="0" w:color="auto"/>
            </w:tcBorders>
            <w:hideMark/>
          </w:tcPr>
          <w:p w:rsidR="00A00B81" w:rsidRPr="00203DF5" w:rsidRDefault="00151769" w:rsidP="00A517E8">
            <w:pPr>
              <w:spacing w:line="252" w:lineRule="auto"/>
              <w:rPr>
                <w:rStyle w:val="a3"/>
                <w:color w:val="auto"/>
                <w:sz w:val="22"/>
                <w:szCs w:val="22"/>
                <w:lang w:val="en-US" w:eastAsia="en-US"/>
              </w:rPr>
            </w:pPr>
            <w:hyperlink r:id="rId5" w:history="1">
              <w:r w:rsidR="00A00B81" w:rsidRPr="00203DF5">
                <w:rPr>
                  <w:rStyle w:val="a3"/>
                  <w:sz w:val="22"/>
                  <w:szCs w:val="22"/>
                  <w:lang w:val="en-US" w:eastAsia="en-US"/>
                </w:rPr>
                <w:t>www.kubanenergo.ru</w:t>
              </w:r>
            </w:hyperlink>
            <w:r w:rsidR="00A00B81" w:rsidRPr="00203DF5">
              <w:rPr>
                <w:sz w:val="22"/>
                <w:szCs w:val="22"/>
                <w:lang w:val="en-US" w:eastAsia="en-US"/>
              </w:rPr>
              <w:t xml:space="preserve"> </w:t>
            </w:r>
          </w:p>
          <w:p w:rsidR="00A00B81" w:rsidRPr="00203DF5" w:rsidRDefault="00151769" w:rsidP="00A517E8">
            <w:pPr>
              <w:pStyle w:val="a4"/>
              <w:spacing w:line="252" w:lineRule="auto"/>
              <w:rPr>
                <w:b/>
                <w:sz w:val="22"/>
                <w:szCs w:val="22"/>
                <w:lang w:val="en-US"/>
              </w:rPr>
            </w:pPr>
            <w:hyperlink r:id="rId6" w:history="1">
              <w:r w:rsidR="00A00B81" w:rsidRPr="00203DF5">
                <w:rPr>
                  <w:rStyle w:val="a3"/>
                  <w:sz w:val="22"/>
                  <w:szCs w:val="22"/>
                  <w:lang w:val="en-US"/>
                </w:rPr>
                <w:t>http://www.e-disclosure.ru/portal/company.aspx?id=2827</w:t>
              </w:r>
            </w:hyperlink>
          </w:p>
        </w:tc>
      </w:tr>
      <w:tr w:rsidR="00A00B81" w:rsidRPr="00203DF5" w:rsidTr="00203DF5">
        <w:tblPrEx>
          <w:tblCellMar>
            <w:left w:w="108" w:type="dxa"/>
            <w:right w:w="108" w:type="dxa"/>
          </w:tblCellMar>
        </w:tblPrEx>
        <w:tc>
          <w:tcPr>
            <w:tcW w:w="5387" w:type="dxa"/>
            <w:tcBorders>
              <w:top w:val="single" w:sz="4" w:space="0" w:color="auto"/>
              <w:left w:val="single" w:sz="4" w:space="0" w:color="auto"/>
              <w:bottom w:val="single" w:sz="4" w:space="0" w:color="auto"/>
              <w:right w:val="single" w:sz="4" w:space="0" w:color="auto"/>
            </w:tcBorders>
            <w:hideMark/>
          </w:tcPr>
          <w:p w:rsidR="00A00B81" w:rsidRPr="00203DF5" w:rsidRDefault="00A00B81" w:rsidP="00A517E8">
            <w:pPr>
              <w:pStyle w:val="a4"/>
              <w:spacing w:line="254" w:lineRule="auto"/>
              <w:rPr>
                <w:sz w:val="22"/>
                <w:szCs w:val="22"/>
                <w:lang w:val="en-US"/>
              </w:rPr>
            </w:pPr>
            <w:r w:rsidRPr="00203DF5">
              <w:rPr>
                <w:sz w:val="22"/>
                <w:szCs w:val="22"/>
                <w:lang w:val="en-US"/>
              </w:rPr>
              <w:t>1.8. Date of the event (material fact) that is disclosed in the statement (if applicable)</w:t>
            </w:r>
          </w:p>
        </w:tc>
        <w:tc>
          <w:tcPr>
            <w:tcW w:w="5670" w:type="dxa"/>
            <w:gridSpan w:val="3"/>
            <w:tcBorders>
              <w:top w:val="single" w:sz="4" w:space="0" w:color="auto"/>
              <w:left w:val="single" w:sz="4" w:space="0" w:color="auto"/>
              <w:bottom w:val="single" w:sz="4" w:space="0" w:color="auto"/>
              <w:right w:val="single" w:sz="4" w:space="0" w:color="auto"/>
            </w:tcBorders>
            <w:hideMark/>
          </w:tcPr>
          <w:p w:rsidR="00A00B81" w:rsidRPr="00203DF5" w:rsidRDefault="00520FE5" w:rsidP="00A00B81">
            <w:pPr>
              <w:pStyle w:val="a4"/>
              <w:spacing w:line="254" w:lineRule="auto"/>
              <w:rPr>
                <w:b/>
                <w:sz w:val="22"/>
                <w:szCs w:val="22"/>
                <w:lang w:val="en-US"/>
              </w:rPr>
            </w:pPr>
            <w:r w:rsidRPr="00203DF5">
              <w:rPr>
                <w:b/>
                <w:sz w:val="22"/>
                <w:szCs w:val="22"/>
                <w:lang w:val="en-US"/>
              </w:rPr>
              <w:t>05.08.2019</w:t>
            </w:r>
          </w:p>
        </w:tc>
      </w:tr>
      <w:tr w:rsidR="00A00B81" w:rsidRPr="00203DF5" w:rsidTr="00203DF5">
        <w:tc>
          <w:tcPr>
            <w:tcW w:w="11057" w:type="dxa"/>
            <w:gridSpan w:val="4"/>
            <w:tcBorders>
              <w:top w:val="single" w:sz="4" w:space="0" w:color="auto"/>
              <w:left w:val="single" w:sz="4" w:space="0" w:color="auto"/>
              <w:bottom w:val="single" w:sz="4" w:space="0" w:color="auto"/>
              <w:right w:val="single" w:sz="4" w:space="0" w:color="auto"/>
            </w:tcBorders>
            <w:hideMark/>
          </w:tcPr>
          <w:p w:rsidR="00A00B81" w:rsidRPr="00203DF5" w:rsidRDefault="00A00B81">
            <w:pPr>
              <w:ind w:right="140"/>
              <w:jc w:val="center"/>
              <w:rPr>
                <w:sz w:val="22"/>
                <w:szCs w:val="22"/>
                <w:highlight w:val="yellow"/>
                <w:lang w:val="en-US"/>
              </w:rPr>
            </w:pPr>
            <w:r w:rsidRPr="00203DF5">
              <w:rPr>
                <w:sz w:val="22"/>
                <w:szCs w:val="22"/>
              </w:rPr>
              <w:t xml:space="preserve">2. </w:t>
            </w:r>
            <w:r w:rsidRPr="00203DF5">
              <w:rPr>
                <w:sz w:val="22"/>
                <w:szCs w:val="22"/>
                <w:lang w:val="en-US"/>
              </w:rPr>
              <w:t xml:space="preserve">Content of statement </w:t>
            </w:r>
          </w:p>
        </w:tc>
      </w:tr>
      <w:tr w:rsidR="00A00B81" w:rsidRPr="00151769" w:rsidTr="00203DF5">
        <w:tc>
          <w:tcPr>
            <w:tcW w:w="11057" w:type="dxa"/>
            <w:gridSpan w:val="4"/>
            <w:tcBorders>
              <w:top w:val="single" w:sz="4" w:space="0" w:color="auto"/>
              <w:left w:val="single" w:sz="4" w:space="0" w:color="auto"/>
              <w:bottom w:val="single" w:sz="4" w:space="0" w:color="auto"/>
              <w:right w:val="single" w:sz="4" w:space="0" w:color="auto"/>
            </w:tcBorders>
            <w:hideMark/>
          </w:tcPr>
          <w:p w:rsidR="00A00B81" w:rsidRPr="00203DF5" w:rsidRDefault="00A00B81">
            <w:pPr>
              <w:adjustRightInd w:val="0"/>
              <w:ind w:left="111" w:right="120"/>
              <w:jc w:val="both"/>
              <w:rPr>
                <w:sz w:val="22"/>
                <w:szCs w:val="22"/>
                <w:shd w:val="clear" w:color="auto" w:fill="FFFFFF"/>
                <w:lang w:val="en-US" w:eastAsia="en-US"/>
              </w:rPr>
            </w:pPr>
            <w:r w:rsidRPr="00203DF5">
              <w:rPr>
                <w:sz w:val="22"/>
                <w:szCs w:val="22"/>
                <w:shd w:val="clear" w:color="auto" w:fill="FFFFFF"/>
                <w:lang w:val="en-US" w:eastAsia="en-US"/>
              </w:rPr>
              <w:t xml:space="preserve">2.1. Kind, category (type), series and other identifications of the issuer’s securities on which income has accrued: </w:t>
            </w:r>
          </w:p>
          <w:p w:rsidR="00A00B81" w:rsidRPr="00203DF5" w:rsidRDefault="00A00B81">
            <w:pPr>
              <w:adjustRightInd w:val="0"/>
              <w:ind w:left="111" w:right="120"/>
              <w:jc w:val="both"/>
              <w:rPr>
                <w:sz w:val="22"/>
                <w:szCs w:val="22"/>
                <w:shd w:val="clear" w:color="auto" w:fill="FFFFFF"/>
                <w:lang w:val="en-US" w:eastAsia="en-US"/>
              </w:rPr>
            </w:pPr>
            <w:r w:rsidRPr="00203DF5">
              <w:rPr>
                <w:sz w:val="22"/>
                <w:szCs w:val="22"/>
                <w:shd w:val="clear" w:color="auto" w:fill="FFFFFF"/>
                <w:lang w:val="en-US" w:eastAsia="en-US"/>
              </w:rPr>
              <w:t xml:space="preserve">kind, category (type): </w:t>
            </w:r>
            <w:r w:rsidRPr="00203DF5">
              <w:rPr>
                <w:b/>
                <w:sz w:val="22"/>
                <w:szCs w:val="22"/>
                <w:shd w:val="clear" w:color="auto" w:fill="FFFFFF"/>
                <w:lang w:val="en-US" w:eastAsia="en-US"/>
              </w:rPr>
              <w:t>registered ordinary shares</w:t>
            </w:r>
          </w:p>
          <w:p w:rsidR="00A00B81" w:rsidRPr="00203DF5" w:rsidRDefault="00A00B81">
            <w:pPr>
              <w:adjustRightInd w:val="0"/>
              <w:ind w:left="111" w:right="120"/>
              <w:jc w:val="both"/>
              <w:rPr>
                <w:sz w:val="22"/>
                <w:szCs w:val="22"/>
                <w:shd w:val="clear" w:color="auto" w:fill="FFFFFF"/>
                <w:lang w:val="en-US"/>
              </w:rPr>
            </w:pPr>
            <w:r w:rsidRPr="00203DF5">
              <w:rPr>
                <w:sz w:val="22"/>
                <w:szCs w:val="22"/>
                <w:shd w:val="clear" w:color="auto" w:fill="FFFFFF"/>
                <w:lang w:val="en-US"/>
              </w:rPr>
              <w:t xml:space="preserve">state registration number of the issue (additional issue) of the issuer’s securities and date of its state registration (identification number of the issue (additional issue) of the issuer’s securities and date of its assigning): </w:t>
            </w:r>
            <w:r w:rsidRPr="00203DF5">
              <w:rPr>
                <w:b/>
                <w:sz w:val="22"/>
                <w:szCs w:val="22"/>
                <w:shd w:val="clear" w:color="auto" w:fill="FFFFFF"/>
                <w:lang w:val="en-US"/>
              </w:rPr>
              <w:t>1-02-00063-A of 08.07.2003</w:t>
            </w:r>
          </w:p>
          <w:p w:rsidR="00A00B81" w:rsidRPr="00203DF5" w:rsidRDefault="00A00B81">
            <w:pPr>
              <w:adjustRightInd w:val="0"/>
              <w:ind w:left="111" w:right="120"/>
              <w:jc w:val="both"/>
              <w:rPr>
                <w:rStyle w:val="apple-converted-space"/>
                <w:b/>
                <w:bCs/>
                <w:sz w:val="22"/>
                <w:szCs w:val="22"/>
                <w:shd w:val="clear" w:color="auto" w:fill="FFFFFF"/>
                <w:lang w:val="en-US"/>
              </w:rPr>
            </w:pPr>
            <w:r w:rsidRPr="00203DF5">
              <w:rPr>
                <w:bCs/>
                <w:sz w:val="22"/>
                <w:szCs w:val="22"/>
                <w:shd w:val="clear" w:color="auto" w:fill="FFFFFF"/>
                <w:lang w:val="en-US"/>
              </w:rPr>
              <w:t>International Securities Identification Number (ISIN)</w:t>
            </w:r>
            <w:r w:rsidRPr="00203DF5">
              <w:rPr>
                <w:rStyle w:val="apple-converted-space"/>
                <w:bCs/>
                <w:sz w:val="22"/>
                <w:szCs w:val="22"/>
                <w:shd w:val="clear" w:color="auto" w:fill="FFFFFF"/>
                <w:lang w:val="en-US"/>
              </w:rPr>
              <w:t xml:space="preserve">, if any: </w:t>
            </w:r>
            <w:r w:rsidRPr="00203DF5">
              <w:rPr>
                <w:rStyle w:val="apple-converted-space"/>
                <w:b/>
                <w:bCs/>
                <w:sz w:val="22"/>
                <w:szCs w:val="22"/>
                <w:shd w:val="clear" w:color="auto" w:fill="FFFFFF"/>
                <w:lang w:val="en-US"/>
              </w:rPr>
              <w:t>RU0009046767</w:t>
            </w:r>
          </w:p>
          <w:p w:rsidR="00520FE5" w:rsidRPr="00203DF5" w:rsidRDefault="00A00B81">
            <w:pPr>
              <w:adjustRightInd w:val="0"/>
              <w:ind w:left="111" w:right="120"/>
              <w:jc w:val="both"/>
              <w:rPr>
                <w:sz w:val="22"/>
                <w:szCs w:val="22"/>
                <w:lang w:val="en-US"/>
              </w:rPr>
            </w:pPr>
            <w:r w:rsidRPr="00203DF5">
              <w:rPr>
                <w:rStyle w:val="apple-converted-space"/>
                <w:bCs/>
                <w:sz w:val="22"/>
                <w:szCs w:val="22"/>
                <w:shd w:val="clear" w:color="auto" w:fill="FFFFFF"/>
                <w:lang w:val="en-US"/>
              </w:rPr>
              <w:t>2.2.</w:t>
            </w:r>
            <w:r w:rsidRPr="00203DF5">
              <w:rPr>
                <w:sz w:val="22"/>
                <w:szCs w:val="22"/>
                <w:lang w:val="en-US"/>
              </w:rPr>
              <w:t xml:space="preserve"> </w:t>
            </w:r>
            <w:r w:rsidR="00520FE5" w:rsidRPr="00203DF5">
              <w:rPr>
                <w:sz w:val="22"/>
                <w:szCs w:val="22"/>
                <w:lang w:val="en-US"/>
              </w:rPr>
              <w:t xml:space="preserve">Reporting (coupon) period (year, quarter, or first and last dates of the coupon period) for which income was paid in relation to the issuer’s securities: </w:t>
            </w:r>
            <w:r w:rsidR="00520FE5" w:rsidRPr="00203DF5">
              <w:rPr>
                <w:b/>
                <w:sz w:val="22"/>
                <w:szCs w:val="22"/>
                <w:lang w:val="en-US"/>
              </w:rPr>
              <w:t>2018</w:t>
            </w:r>
          </w:p>
          <w:p w:rsidR="00520FE5" w:rsidRPr="00203DF5" w:rsidRDefault="00520FE5">
            <w:pPr>
              <w:adjustRightInd w:val="0"/>
              <w:ind w:left="111" w:right="120"/>
              <w:jc w:val="both"/>
              <w:rPr>
                <w:b/>
                <w:sz w:val="22"/>
                <w:szCs w:val="22"/>
                <w:lang w:val="en-US"/>
              </w:rPr>
            </w:pPr>
            <w:r w:rsidRPr="00203DF5">
              <w:rPr>
                <w:sz w:val="22"/>
                <w:szCs w:val="22"/>
                <w:lang w:val="en-US"/>
              </w:rPr>
              <w:t xml:space="preserve">2.3. </w:t>
            </w:r>
            <w:r w:rsidRPr="00203DF5">
              <w:rPr>
                <w:sz w:val="22"/>
                <w:szCs w:val="22"/>
                <w:lang w:val="en-US" w:eastAsia="en-US"/>
              </w:rPr>
              <w:t xml:space="preserve">Total size of the accrued (payable) yield on the issuer’s securities and the size of accrued (payable) yield per one issuer’s security (total amount of dividends accrued on shares of a certain category (type), and the size of dividend and (or) other income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 </w:t>
            </w:r>
            <w:r w:rsidRPr="00203DF5">
              <w:rPr>
                <w:b/>
                <w:sz w:val="22"/>
                <w:szCs w:val="22"/>
                <w:lang w:val="en-US" w:eastAsia="en-US"/>
              </w:rPr>
              <w:t xml:space="preserve">143 638 thousand rubles / 0.472815 rubles per one ordinary share of the Company. </w:t>
            </w:r>
          </w:p>
          <w:p w:rsidR="00520FE5" w:rsidRPr="00203DF5" w:rsidRDefault="00520FE5">
            <w:pPr>
              <w:adjustRightInd w:val="0"/>
              <w:ind w:left="111" w:right="120"/>
              <w:jc w:val="both"/>
              <w:rPr>
                <w:sz w:val="22"/>
                <w:szCs w:val="22"/>
                <w:lang w:val="en-US"/>
              </w:rPr>
            </w:pPr>
            <w:r w:rsidRPr="00203DF5">
              <w:rPr>
                <w:sz w:val="22"/>
                <w:szCs w:val="22"/>
                <w:lang w:val="en-US"/>
              </w:rPr>
              <w:t xml:space="preserve">2.4. Total quantity of the issuer’s securities (quantity of shares of the relevant </w:t>
            </w:r>
            <w:r w:rsidR="0091482B" w:rsidRPr="00203DF5">
              <w:rPr>
                <w:sz w:val="22"/>
                <w:szCs w:val="22"/>
                <w:lang w:val="en-US"/>
              </w:rPr>
              <w:t>category</w:t>
            </w:r>
            <w:r w:rsidRPr="00203DF5">
              <w:rPr>
                <w:sz w:val="22"/>
                <w:szCs w:val="22"/>
                <w:lang w:val="en-US"/>
              </w:rPr>
              <w:t xml:space="preserve"> (</w:t>
            </w:r>
            <w:r w:rsidR="0091482B" w:rsidRPr="00203DF5">
              <w:rPr>
                <w:sz w:val="22"/>
                <w:szCs w:val="22"/>
                <w:lang w:val="en-US"/>
              </w:rPr>
              <w:t>type</w:t>
            </w:r>
            <w:r w:rsidRPr="00203DF5">
              <w:rPr>
                <w:sz w:val="22"/>
                <w:szCs w:val="22"/>
                <w:lang w:val="en-US"/>
              </w:rPr>
              <w:t>)</w:t>
            </w:r>
            <w:r w:rsidR="0091482B" w:rsidRPr="00203DF5">
              <w:rPr>
                <w:sz w:val="22"/>
                <w:szCs w:val="22"/>
                <w:lang w:val="en-US"/>
              </w:rPr>
              <w:t>; amount of bonds of the relevant issue (series)</w:t>
            </w:r>
            <w:r w:rsidRPr="00203DF5">
              <w:rPr>
                <w:sz w:val="22"/>
                <w:szCs w:val="22"/>
                <w:lang w:val="en-US"/>
              </w:rPr>
              <w:t xml:space="preserve"> with respect to which income was payable):</w:t>
            </w:r>
            <w:r w:rsidR="0091482B" w:rsidRPr="00203DF5">
              <w:rPr>
                <w:sz w:val="22"/>
                <w:szCs w:val="22"/>
                <w:lang w:val="en-US"/>
              </w:rPr>
              <w:t xml:space="preserve"> </w:t>
            </w:r>
            <w:r w:rsidR="0091482B" w:rsidRPr="00203DF5">
              <w:rPr>
                <w:b/>
                <w:sz w:val="22"/>
                <w:szCs w:val="22"/>
                <w:lang w:val="en-US"/>
              </w:rPr>
              <w:t>303 793 350 shares</w:t>
            </w:r>
          </w:p>
          <w:p w:rsidR="00520FE5" w:rsidRPr="00203DF5" w:rsidRDefault="0091482B">
            <w:pPr>
              <w:adjustRightInd w:val="0"/>
              <w:ind w:left="111" w:right="120"/>
              <w:jc w:val="both"/>
              <w:rPr>
                <w:sz w:val="22"/>
                <w:szCs w:val="22"/>
                <w:lang w:val="en-US"/>
              </w:rPr>
            </w:pPr>
            <w:r w:rsidRPr="00203DF5">
              <w:rPr>
                <w:sz w:val="22"/>
                <w:szCs w:val="22"/>
                <w:lang w:val="en-US"/>
              </w:rPr>
              <w:t xml:space="preserve">2.5. </w:t>
            </w:r>
            <w:r w:rsidR="004B329D" w:rsidRPr="00203DF5">
              <w:rPr>
                <w:sz w:val="22"/>
                <w:szCs w:val="22"/>
                <w:lang w:val="en-US"/>
              </w:rPr>
              <w:t xml:space="preserve">Method of payment of income from the issuer’s securities (money or other property): </w:t>
            </w:r>
            <w:r w:rsidR="004B329D" w:rsidRPr="00203DF5">
              <w:rPr>
                <w:b/>
                <w:sz w:val="22"/>
                <w:szCs w:val="22"/>
                <w:lang w:val="en-US"/>
              </w:rPr>
              <w:t xml:space="preserve">money </w:t>
            </w:r>
          </w:p>
          <w:p w:rsidR="004B329D" w:rsidRPr="00203DF5" w:rsidRDefault="004B329D">
            <w:pPr>
              <w:adjustRightInd w:val="0"/>
              <w:ind w:left="111" w:right="120"/>
              <w:jc w:val="both"/>
              <w:rPr>
                <w:sz w:val="22"/>
                <w:szCs w:val="22"/>
                <w:lang w:val="en-US"/>
              </w:rPr>
            </w:pPr>
            <w:r w:rsidRPr="00203DF5">
              <w:rPr>
                <w:sz w:val="22"/>
                <w:szCs w:val="22"/>
                <w:lang w:val="en-US"/>
              </w:rPr>
              <w:t xml:space="preserve">2.6. </w:t>
            </w:r>
            <w:r w:rsidRPr="00203DF5">
              <w:rPr>
                <w:sz w:val="22"/>
                <w:szCs w:val="22"/>
                <w:shd w:val="clear" w:color="auto" w:fill="FFFFFF"/>
                <w:lang w:val="en-US" w:eastAsia="en-US"/>
              </w:rPr>
              <w:t>Date of determining persons entitled to interest paid on the issuer</w:t>
            </w:r>
            <w:bookmarkStart w:id="0" w:name="_GoBack"/>
            <w:bookmarkEnd w:id="0"/>
            <w:r w:rsidRPr="00203DF5">
              <w:rPr>
                <w:sz w:val="22"/>
                <w:szCs w:val="22"/>
                <w:shd w:val="clear" w:color="auto" w:fill="FFFFFF"/>
                <w:lang w:val="en-US" w:eastAsia="en-US"/>
              </w:rPr>
              <w:t xml:space="preserve">’s securities: </w:t>
            </w:r>
            <w:r w:rsidRPr="00203DF5">
              <w:rPr>
                <w:b/>
                <w:sz w:val="22"/>
                <w:szCs w:val="22"/>
                <w:shd w:val="clear" w:color="auto" w:fill="FFFFFF"/>
                <w:lang w:val="en-US" w:eastAsia="en-US"/>
              </w:rPr>
              <w:t>01.07.2019</w:t>
            </w:r>
          </w:p>
          <w:p w:rsidR="00520FE5" w:rsidRPr="00203DF5" w:rsidRDefault="004B329D">
            <w:pPr>
              <w:adjustRightInd w:val="0"/>
              <w:ind w:left="111" w:right="120"/>
              <w:jc w:val="both"/>
              <w:rPr>
                <w:sz w:val="22"/>
                <w:szCs w:val="22"/>
                <w:lang w:val="en-US"/>
              </w:rPr>
            </w:pPr>
            <w:r w:rsidRPr="00203DF5">
              <w:rPr>
                <w:sz w:val="22"/>
                <w:szCs w:val="22"/>
                <w:lang w:val="en-US"/>
              </w:rPr>
              <w:t xml:space="preserve">2.7. </w:t>
            </w:r>
            <w:r w:rsidR="00BD4523" w:rsidRPr="00203DF5">
              <w:rPr>
                <w:sz w:val="22"/>
                <w:szCs w:val="22"/>
                <w:lang w:val="en-US"/>
              </w:rPr>
              <w:t>Date when the obligation to pay income from the issuer’s securities (income (interest, par value, partial par value) from bonds) should be fulfilled or, if the obligation to pay income from securities should be fulfilled by the issuer within a certain time (period), the last day of such period:</w:t>
            </w:r>
          </w:p>
          <w:p w:rsidR="004B329D" w:rsidRPr="00203DF5" w:rsidRDefault="0046423A" w:rsidP="0046423A">
            <w:pPr>
              <w:adjustRightInd w:val="0"/>
              <w:ind w:left="111" w:right="120"/>
              <w:jc w:val="both"/>
              <w:rPr>
                <w:b/>
                <w:sz w:val="22"/>
                <w:szCs w:val="22"/>
                <w:lang w:val="en-US"/>
              </w:rPr>
            </w:pPr>
            <w:r w:rsidRPr="00203DF5">
              <w:rPr>
                <w:b/>
                <w:sz w:val="22"/>
                <w:szCs w:val="22"/>
                <w:lang w:val="en-US"/>
              </w:rPr>
              <w:t>The deadline for the payment of dividends to a nominee holder and to a trustee who is a professional participant in the securities market shall not exceed 10 business days from the date of compilation of the list of persons entitled to receive dividends (no later than 15 July 2019), to other shareholders registered in the register – 25 business days from the date of compilation of the list of persons entitled to receive dividends (no later than 5 August 2019).</w:t>
            </w:r>
          </w:p>
          <w:p w:rsidR="004B329D" w:rsidRPr="00203DF5" w:rsidRDefault="0046423A">
            <w:pPr>
              <w:adjustRightInd w:val="0"/>
              <w:ind w:left="111" w:right="120"/>
              <w:jc w:val="both"/>
              <w:rPr>
                <w:sz w:val="22"/>
                <w:szCs w:val="22"/>
                <w:lang w:val="en-US"/>
              </w:rPr>
            </w:pPr>
            <w:r w:rsidRPr="00203DF5">
              <w:rPr>
                <w:sz w:val="22"/>
                <w:szCs w:val="22"/>
                <w:lang w:val="en-US"/>
              </w:rPr>
              <w:t>2.8.</w:t>
            </w:r>
            <w:r w:rsidR="00203DF5" w:rsidRPr="00203DF5">
              <w:rPr>
                <w:sz w:val="22"/>
                <w:szCs w:val="22"/>
                <w:lang w:val="en-US"/>
              </w:rPr>
              <w:t xml:space="preserve"> The total amount of income paid with respect to the issuer’s securities (total amount of dividends paid on the issuer’s shares of a certain category (type); total amount of interest and (or) other income paid on the issuer’s bonds of a certain issue (series), for the corresponding reporting (coupon) period): </w:t>
            </w:r>
          </w:p>
          <w:p w:rsidR="00203DF5" w:rsidRPr="00203DF5" w:rsidRDefault="00203DF5">
            <w:pPr>
              <w:adjustRightInd w:val="0"/>
              <w:ind w:left="111" w:right="120"/>
              <w:jc w:val="both"/>
              <w:rPr>
                <w:b/>
                <w:sz w:val="22"/>
                <w:szCs w:val="22"/>
                <w:lang w:val="en-US"/>
              </w:rPr>
            </w:pPr>
            <w:r w:rsidRPr="00203DF5">
              <w:rPr>
                <w:b/>
                <w:sz w:val="22"/>
                <w:szCs w:val="22"/>
                <w:lang w:val="en-US"/>
              </w:rPr>
              <w:t>143 613 562.58 rubles (the sum of paid income on the issuer’s securities without tax)</w:t>
            </w:r>
          </w:p>
          <w:p w:rsidR="00A00B81" w:rsidRPr="00203DF5" w:rsidRDefault="00203DF5" w:rsidP="00203DF5">
            <w:pPr>
              <w:adjustRightInd w:val="0"/>
              <w:ind w:left="111" w:right="120"/>
              <w:jc w:val="both"/>
              <w:rPr>
                <w:b/>
                <w:sz w:val="22"/>
                <w:szCs w:val="22"/>
                <w:lang w:val="en-US"/>
              </w:rPr>
            </w:pPr>
            <w:r w:rsidRPr="00203DF5">
              <w:rPr>
                <w:sz w:val="22"/>
                <w:szCs w:val="22"/>
                <w:lang w:val="en-US"/>
              </w:rPr>
              <w:t xml:space="preserve">2.9. If income from the issuer’s securities fails to be paid or is not paid by the issuer in full, the reasons for the failure to pay income from the issuer’s securities: </w:t>
            </w:r>
            <w:r w:rsidRPr="00203DF5">
              <w:rPr>
                <w:b/>
                <w:sz w:val="22"/>
                <w:szCs w:val="22"/>
                <w:lang w:val="en-US"/>
              </w:rPr>
              <w:t>absence of information necessary for transfer of dividends in the profile of the registered person, data for which must be provided by the registered person.</w:t>
            </w:r>
          </w:p>
        </w:tc>
      </w:tr>
      <w:tr w:rsidR="00A00B81" w:rsidRPr="00203DF5" w:rsidTr="00203DF5">
        <w:tblPrEx>
          <w:tblCellMar>
            <w:left w:w="108" w:type="dxa"/>
            <w:right w:w="108" w:type="dxa"/>
          </w:tblCellMar>
        </w:tblPrEx>
        <w:trPr>
          <w:cantSplit/>
        </w:trPr>
        <w:tc>
          <w:tcPr>
            <w:tcW w:w="1105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00B81" w:rsidRPr="00203DF5" w:rsidRDefault="00A00B81" w:rsidP="00A517E8">
            <w:pPr>
              <w:tabs>
                <w:tab w:val="left" w:pos="142"/>
                <w:tab w:val="left" w:pos="9465"/>
              </w:tabs>
              <w:spacing w:line="252" w:lineRule="auto"/>
              <w:ind w:left="142" w:right="189"/>
              <w:jc w:val="center"/>
              <w:rPr>
                <w:sz w:val="22"/>
                <w:szCs w:val="22"/>
                <w:lang w:val="en-US" w:eastAsia="en-US"/>
              </w:rPr>
            </w:pPr>
            <w:r w:rsidRPr="00203DF5">
              <w:rPr>
                <w:sz w:val="22"/>
                <w:szCs w:val="22"/>
                <w:lang w:val="en-US" w:eastAsia="en-US"/>
              </w:rPr>
              <w:t xml:space="preserve">3. Signature </w:t>
            </w:r>
          </w:p>
        </w:tc>
      </w:tr>
      <w:tr w:rsidR="00A00B81" w:rsidRPr="00203DF5" w:rsidTr="00203DF5">
        <w:tblPrEx>
          <w:tblCellMar>
            <w:left w:w="108" w:type="dxa"/>
            <w:right w:w="108" w:type="dxa"/>
          </w:tblCellMar>
        </w:tblPrEx>
        <w:trPr>
          <w:cantSplit/>
          <w:trHeight w:val="1187"/>
        </w:trPr>
        <w:tc>
          <w:tcPr>
            <w:tcW w:w="624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A00B81" w:rsidRPr="00203DF5" w:rsidRDefault="00A00B81" w:rsidP="00A517E8">
            <w:pPr>
              <w:pStyle w:val="Default"/>
              <w:spacing w:line="252" w:lineRule="auto"/>
              <w:jc w:val="both"/>
              <w:rPr>
                <w:color w:val="auto"/>
                <w:sz w:val="22"/>
                <w:szCs w:val="22"/>
                <w:lang w:val="en-US"/>
              </w:rPr>
            </w:pPr>
            <w:r w:rsidRPr="00203DF5">
              <w:rPr>
                <w:color w:val="auto"/>
                <w:sz w:val="22"/>
                <w:szCs w:val="22"/>
                <w:lang w:val="en-US"/>
              </w:rPr>
              <w:t xml:space="preserve">3.1 Head of Corporate Governance and Shareholder Relations Department (by power of attorney No.119/10-1406 </w:t>
            </w:r>
            <w:r w:rsidRPr="00203DF5">
              <w:rPr>
                <w:sz w:val="22"/>
                <w:szCs w:val="22"/>
                <w:lang w:val="en-US"/>
              </w:rPr>
              <w:t>of 19.12.2018)</w:t>
            </w:r>
          </w:p>
          <w:p w:rsidR="00A00B81" w:rsidRPr="00203DF5" w:rsidRDefault="00A00B81" w:rsidP="00A517E8">
            <w:pPr>
              <w:spacing w:line="252" w:lineRule="auto"/>
              <w:ind w:left="57"/>
              <w:rPr>
                <w:sz w:val="22"/>
                <w:szCs w:val="22"/>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A00B81" w:rsidRPr="00203DF5" w:rsidRDefault="00A00B81" w:rsidP="00A517E8">
            <w:pPr>
              <w:spacing w:line="252" w:lineRule="auto"/>
              <w:jc w:val="center"/>
              <w:rPr>
                <w:sz w:val="22"/>
                <w:szCs w:val="22"/>
                <w:lang w:val="en-US" w:eastAsia="en-US"/>
              </w:rPr>
            </w:pPr>
            <w:r w:rsidRPr="00203DF5">
              <w:rPr>
                <w:sz w:val="22"/>
                <w:szCs w:val="22"/>
                <w:lang w:val="en-US" w:eastAsia="en-US"/>
              </w:rPr>
              <w:t>________________</w:t>
            </w:r>
          </w:p>
          <w:p w:rsidR="00A00B81" w:rsidRPr="00203DF5" w:rsidRDefault="00A00B81" w:rsidP="00A517E8">
            <w:pPr>
              <w:spacing w:line="252" w:lineRule="auto"/>
              <w:jc w:val="center"/>
              <w:rPr>
                <w:sz w:val="22"/>
                <w:szCs w:val="22"/>
                <w:lang w:val="en-US" w:eastAsia="en-US"/>
              </w:rPr>
            </w:pPr>
            <w:r w:rsidRPr="00203DF5">
              <w:rPr>
                <w:sz w:val="22"/>
                <w:szCs w:val="22"/>
                <w:lang w:val="en-US" w:eastAsia="en-US"/>
              </w:rPr>
              <w:t>(signature)</w:t>
            </w:r>
          </w:p>
        </w:tc>
        <w:tc>
          <w:tcPr>
            <w:tcW w:w="2840" w:type="dxa"/>
            <w:tcBorders>
              <w:top w:val="single" w:sz="4" w:space="0" w:color="auto"/>
              <w:left w:val="nil"/>
              <w:bottom w:val="nil"/>
              <w:right w:val="single" w:sz="4" w:space="0" w:color="auto"/>
            </w:tcBorders>
            <w:tcMar>
              <w:top w:w="0" w:type="dxa"/>
              <w:left w:w="28" w:type="dxa"/>
              <w:bottom w:w="0" w:type="dxa"/>
              <w:right w:w="28" w:type="dxa"/>
            </w:tcMar>
            <w:vAlign w:val="bottom"/>
          </w:tcPr>
          <w:p w:rsidR="00A00B81" w:rsidRPr="00203DF5" w:rsidRDefault="00A00B81" w:rsidP="00A517E8">
            <w:pPr>
              <w:spacing w:line="252" w:lineRule="auto"/>
              <w:rPr>
                <w:sz w:val="22"/>
                <w:szCs w:val="22"/>
                <w:lang w:val="en-US" w:eastAsia="en-US"/>
              </w:rPr>
            </w:pPr>
            <w:proofErr w:type="spellStart"/>
            <w:r w:rsidRPr="00203DF5">
              <w:rPr>
                <w:sz w:val="22"/>
                <w:szCs w:val="22"/>
                <w:lang w:val="en-US" w:eastAsia="en-US"/>
              </w:rPr>
              <w:t>Didenko</w:t>
            </w:r>
            <w:proofErr w:type="spellEnd"/>
            <w:r w:rsidRPr="00203DF5">
              <w:rPr>
                <w:sz w:val="22"/>
                <w:szCs w:val="22"/>
                <w:lang w:val="en-US" w:eastAsia="en-US"/>
              </w:rPr>
              <w:t xml:space="preserve"> </w:t>
            </w:r>
            <w:proofErr w:type="spellStart"/>
            <w:r w:rsidRPr="00203DF5">
              <w:rPr>
                <w:sz w:val="22"/>
                <w:szCs w:val="22"/>
                <w:lang w:val="en-US" w:eastAsia="en-US"/>
              </w:rPr>
              <w:t>Ye.Ye</w:t>
            </w:r>
            <w:proofErr w:type="spellEnd"/>
            <w:r w:rsidRPr="00203DF5">
              <w:rPr>
                <w:sz w:val="22"/>
                <w:szCs w:val="22"/>
                <w:lang w:val="en-US" w:eastAsia="en-US"/>
              </w:rPr>
              <w:t>.</w:t>
            </w:r>
          </w:p>
          <w:p w:rsidR="00A00B81" w:rsidRPr="00203DF5" w:rsidRDefault="00A00B81" w:rsidP="00A517E8">
            <w:pPr>
              <w:spacing w:line="252" w:lineRule="auto"/>
              <w:rPr>
                <w:sz w:val="22"/>
                <w:szCs w:val="22"/>
                <w:lang w:val="en-US" w:eastAsia="en-US"/>
              </w:rPr>
            </w:pPr>
          </w:p>
          <w:p w:rsidR="00A00B81" w:rsidRPr="00203DF5" w:rsidRDefault="00A00B81" w:rsidP="00A517E8">
            <w:pPr>
              <w:spacing w:line="252" w:lineRule="auto"/>
              <w:rPr>
                <w:sz w:val="22"/>
                <w:szCs w:val="22"/>
                <w:lang w:val="en-US" w:eastAsia="en-US"/>
              </w:rPr>
            </w:pPr>
          </w:p>
        </w:tc>
      </w:tr>
      <w:tr w:rsidR="00A00B81" w:rsidRPr="00203DF5" w:rsidTr="00203DF5">
        <w:tblPrEx>
          <w:tblCellMar>
            <w:left w:w="108" w:type="dxa"/>
            <w:right w:w="108" w:type="dxa"/>
          </w:tblCellMar>
        </w:tblPrEx>
        <w:trPr>
          <w:cantSplit/>
          <w:trHeight w:val="645"/>
        </w:trPr>
        <w:tc>
          <w:tcPr>
            <w:tcW w:w="624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A00B81" w:rsidRPr="00203DF5" w:rsidRDefault="00A00B81" w:rsidP="00203DF5">
            <w:pPr>
              <w:spacing w:line="252" w:lineRule="auto"/>
              <w:rPr>
                <w:sz w:val="22"/>
                <w:szCs w:val="22"/>
                <w:lang w:val="en-US" w:eastAsia="en-US"/>
              </w:rPr>
            </w:pPr>
            <w:r w:rsidRPr="00203DF5">
              <w:rPr>
                <w:sz w:val="22"/>
                <w:szCs w:val="22"/>
                <w:lang w:val="en-US" w:eastAsia="en-US"/>
              </w:rPr>
              <w:t xml:space="preserve">3.2 Date: </w:t>
            </w:r>
            <w:r w:rsidR="00203DF5" w:rsidRPr="00203DF5">
              <w:rPr>
                <w:sz w:val="22"/>
                <w:szCs w:val="22"/>
                <w:lang w:val="en-US" w:eastAsia="en-US"/>
              </w:rPr>
              <w:t>5 August</w:t>
            </w:r>
            <w:r w:rsidRPr="00203DF5">
              <w:rPr>
                <w:sz w:val="22"/>
                <w:szCs w:val="22"/>
                <w:lang w:val="en-US" w:eastAsia="en-US"/>
              </w:rPr>
              <w:t xml:space="preserve"> 2019</w:t>
            </w:r>
            <w:r w:rsidRPr="00203DF5">
              <w:rPr>
                <w:b/>
                <w:bCs/>
                <w:sz w:val="22"/>
                <w:szCs w:val="22"/>
                <w:lang w:val="en-US" w:eastAsia="en-US"/>
              </w:rPr>
              <w:t xml:space="preserve"> </w:t>
            </w:r>
            <w:r w:rsidRPr="00203DF5">
              <w:rPr>
                <w:sz w:val="22"/>
                <w:szCs w:val="22"/>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A00B81" w:rsidRPr="00203DF5" w:rsidRDefault="00A00B81" w:rsidP="00A517E8">
            <w:pPr>
              <w:spacing w:line="252" w:lineRule="auto"/>
              <w:jc w:val="center"/>
              <w:rPr>
                <w:sz w:val="22"/>
                <w:szCs w:val="22"/>
                <w:lang w:val="en-US" w:eastAsia="en-US"/>
              </w:rPr>
            </w:pPr>
            <w:r w:rsidRPr="00203DF5">
              <w:rPr>
                <w:sz w:val="22"/>
                <w:szCs w:val="22"/>
                <w:lang w:val="en-US" w:eastAsia="en-US"/>
              </w:rPr>
              <w:t xml:space="preserve">seal </w:t>
            </w:r>
          </w:p>
        </w:tc>
        <w:tc>
          <w:tcPr>
            <w:tcW w:w="2840" w:type="dxa"/>
            <w:tcBorders>
              <w:top w:val="nil"/>
              <w:left w:val="nil"/>
              <w:bottom w:val="single" w:sz="4" w:space="0" w:color="auto"/>
              <w:right w:val="single" w:sz="4" w:space="0" w:color="auto"/>
            </w:tcBorders>
            <w:tcMar>
              <w:top w:w="0" w:type="dxa"/>
              <w:left w:w="28" w:type="dxa"/>
              <w:bottom w:w="0" w:type="dxa"/>
              <w:right w:w="28" w:type="dxa"/>
            </w:tcMar>
            <w:vAlign w:val="bottom"/>
          </w:tcPr>
          <w:p w:rsidR="00A00B81" w:rsidRPr="00203DF5" w:rsidRDefault="00A00B81" w:rsidP="00A517E8">
            <w:pPr>
              <w:spacing w:line="252" w:lineRule="auto"/>
              <w:rPr>
                <w:sz w:val="22"/>
                <w:szCs w:val="22"/>
                <w:lang w:val="en-US" w:eastAsia="en-US"/>
              </w:rPr>
            </w:pPr>
          </w:p>
        </w:tc>
      </w:tr>
    </w:tbl>
    <w:p w:rsidR="00A00B81" w:rsidRPr="00203DF5" w:rsidRDefault="00A00B81" w:rsidP="00A00B81">
      <w:pPr>
        <w:rPr>
          <w:sz w:val="22"/>
          <w:szCs w:val="22"/>
        </w:rPr>
      </w:pPr>
    </w:p>
    <w:p w:rsidR="00A00B81" w:rsidRPr="00203DF5" w:rsidRDefault="00A00B81" w:rsidP="00A00B81">
      <w:pPr>
        <w:rPr>
          <w:sz w:val="22"/>
          <w:szCs w:val="22"/>
        </w:rPr>
      </w:pPr>
    </w:p>
    <w:p w:rsidR="0059029B" w:rsidRPr="00203DF5" w:rsidRDefault="0059029B">
      <w:pPr>
        <w:rPr>
          <w:sz w:val="22"/>
          <w:szCs w:val="22"/>
        </w:rPr>
      </w:pPr>
    </w:p>
    <w:sectPr w:rsidR="0059029B" w:rsidRPr="00203DF5" w:rsidSect="00203DF5">
      <w:pgSz w:w="11906" w:h="16838"/>
      <w:pgMar w:top="426"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F3"/>
    <w:rsid w:val="00086306"/>
    <w:rsid w:val="00151769"/>
    <w:rsid w:val="00203DF5"/>
    <w:rsid w:val="0046423A"/>
    <w:rsid w:val="004B329D"/>
    <w:rsid w:val="00520FE5"/>
    <w:rsid w:val="0059029B"/>
    <w:rsid w:val="005D08F3"/>
    <w:rsid w:val="0062058F"/>
    <w:rsid w:val="006F12C0"/>
    <w:rsid w:val="0091482B"/>
    <w:rsid w:val="00A00B81"/>
    <w:rsid w:val="00BD4523"/>
    <w:rsid w:val="00D067E2"/>
    <w:rsid w:val="00D956FD"/>
    <w:rsid w:val="00E800E5"/>
    <w:rsid w:val="00F40FD3"/>
    <w:rsid w:val="00F97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322F"/>
  <w15:chartTrackingRefBased/>
  <w15:docId w15:val="{18598648-F9BD-42B7-B5E6-063ADFA0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B8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0B81"/>
    <w:rPr>
      <w:rFonts w:ascii="Times New Roman" w:hAnsi="Times New Roman" w:cs="Times New Roman" w:hint="default"/>
      <w:color w:val="0000FF"/>
      <w:u w:val="single"/>
    </w:rPr>
  </w:style>
  <w:style w:type="paragraph" w:styleId="a4">
    <w:name w:val="No Spacing"/>
    <w:uiPriority w:val="1"/>
    <w:qFormat/>
    <w:rsid w:val="00A00B8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00B81"/>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A00B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rsid w:val="00A00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652</Words>
  <Characters>3721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15</cp:revision>
  <dcterms:created xsi:type="dcterms:W3CDTF">2019-06-20T15:57:00Z</dcterms:created>
  <dcterms:modified xsi:type="dcterms:W3CDTF">2019-08-05T18:28:00Z</dcterms:modified>
</cp:coreProperties>
</file>