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052" w:rsidRPr="00B32574" w:rsidRDefault="00FB0052" w:rsidP="00FB0052">
      <w:pPr>
        <w:pStyle w:val="ConsNonformat"/>
        <w:jc w:val="center"/>
        <w:rPr>
          <w:rFonts w:ascii="Times New Roman" w:hAnsi="Times New Roman" w:cs="Times New Roman"/>
          <w:b/>
          <w:bCs/>
          <w:sz w:val="22"/>
          <w:szCs w:val="22"/>
          <w:lang w:val="en-US"/>
        </w:rPr>
      </w:pPr>
      <w:r w:rsidRPr="00B32574">
        <w:rPr>
          <w:rFonts w:ascii="Times New Roman" w:hAnsi="Times New Roman" w:cs="Times New Roman"/>
          <w:b/>
          <w:bCs/>
          <w:sz w:val="22"/>
          <w:szCs w:val="22"/>
          <w:lang w:val="en-US"/>
        </w:rPr>
        <w:t xml:space="preserve">Statement </w:t>
      </w:r>
      <w:r w:rsidRPr="00B32574">
        <w:rPr>
          <w:rFonts w:ascii="Times New Roman" w:hAnsi="Times New Roman" w:cs="Times New Roman"/>
          <w:b/>
          <w:bCs/>
          <w:sz w:val="22"/>
          <w:szCs w:val="22"/>
          <w:lang w:val="en-US"/>
        </w:rPr>
        <w:t>on i</w:t>
      </w:r>
      <w:r w:rsidRPr="00B32574">
        <w:rPr>
          <w:rFonts w:ascii="Times New Roman" w:hAnsi="Times New Roman" w:cs="Times New Roman"/>
          <w:b/>
          <w:bCs/>
          <w:sz w:val="22"/>
          <w:szCs w:val="22"/>
          <w:lang w:val="en-US"/>
        </w:rPr>
        <w:t>nformation that in</w:t>
      </w:r>
      <w:r w:rsidRPr="00B32574">
        <w:rPr>
          <w:rFonts w:ascii="Times New Roman" w:hAnsi="Times New Roman" w:cs="Times New Roman"/>
          <w:b/>
          <w:bCs/>
          <w:sz w:val="22"/>
          <w:szCs w:val="22"/>
          <w:lang w:val="en-US"/>
        </w:rPr>
        <w:t xml:space="preserve"> the</w:t>
      </w:r>
      <w:r w:rsidRPr="00B32574">
        <w:rPr>
          <w:rFonts w:ascii="Times New Roman" w:hAnsi="Times New Roman" w:cs="Times New Roman"/>
          <w:b/>
          <w:bCs/>
          <w:sz w:val="22"/>
          <w:szCs w:val="22"/>
          <w:lang w:val="en-US"/>
        </w:rPr>
        <w:t xml:space="preserve"> issuer’s opinion exerts a significant impact on the cost of securities</w:t>
      </w:r>
    </w:p>
    <w:p w:rsidR="00FB0052" w:rsidRPr="00B32574" w:rsidRDefault="00FB0052" w:rsidP="00FB0052">
      <w:pPr>
        <w:pStyle w:val="ConsNonformat"/>
        <w:jc w:val="center"/>
        <w:rPr>
          <w:rFonts w:ascii="Times New Roman" w:hAnsi="Times New Roman" w:cs="Times New Roman"/>
          <w:b/>
          <w:bCs/>
          <w:sz w:val="22"/>
          <w:szCs w:val="22"/>
          <w:lang w:val="en-US"/>
        </w:rPr>
      </w:pPr>
      <w:r w:rsidRPr="00B32574">
        <w:rPr>
          <w:rFonts w:ascii="Times New Roman" w:hAnsi="Times New Roman" w:cs="Times New Roman"/>
          <w:b/>
          <w:bCs/>
          <w:sz w:val="22"/>
          <w:szCs w:val="22"/>
          <w:lang w:val="en-US"/>
        </w:rPr>
        <w:t>“</w:t>
      </w:r>
      <w:bookmarkStart w:id="0" w:name="_GoBack"/>
      <w:r w:rsidRPr="00B32574">
        <w:rPr>
          <w:rFonts w:ascii="Times New Roman" w:hAnsi="Times New Roman" w:cs="Times New Roman"/>
          <w:b/>
          <w:bCs/>
          <w:sz w:val="22"/>
          <w:szCs w:val="22"/>
          <w:lang w:val="en-US"/>
        </w:rPr>
        <w:t>Intent to s</w:t>
      </w:r>
      <w:r w:rsidRPr="00B32574">
        <w:rPr>
          <w:rFonts w:ascii="Times New Roman" w:hAnsi="Times New Roman" w:cs="Times New Roman"/>
          <w:b/>
          <w:bCs/>
          <w:sz w:val="22"/>
          <w:szCs w:val="22"/>
          <w:lang w:val="en-US" w:eastAsia="en-US"/>
        </w:rPr>
        <w:t>ubmi</w:t>
      </w:r>
      <w:r w:rsidRPr="00B32574">
        <w:rPr>
          <w:rFonts w:ascii="Times New Roman" w:hAnsi="Times New Roman" w:cs="Times New Roman"/>
          <w:b/>
          <w:bCs/>
          <w:sz w:val="22"/>
          <w:szCs w:val="22"/>
          <w:lang w:val="en-US" w:eastAsia="en-US"/>
        </w:rPr>
        <w:t>t</w:t>
      </w:r>
      <w:r w:rsidRPr="00B32574">
        <w:rPr>
          <w:rFonts w:ascii="Times New Roman" w:hAnsi="Times New Roman" w:cs="Times New Roman"/>
          <w:b/>
          <w:bCs/>
          <w:sz w:val="22"/>
          <w:szCs w:val="22"/>
          <w:lang w:val="en-US" w:eastAsia="en-US"/>
        </w:rPr>
        <w:t xml:space="preserve"> </w:t>
      </w:r>
      <w:r w:rsidR="00B32574">
        <w:rPr>
          <w:rFonts w:ascii="Times New Roman" w:hAnsi="Times New Roman" w:cs="Times New Roman"/>
          <w:b/>
          <w:bCs/>
          <w:sz w:val="22"/>
          <w:szCs w:val="22"/>
          <w:lang w:val="en-US" w:eastAsia="en-US"/>
        </w:rPr>
        <w:t xml:space="preserve">a </w:t>
      </w:r>
      <w:r w:rsidRPr="00B32574">
        <w:rPr>
          <w:rFonts w:ascii="Times New Roman" w:hAnsi="Times New Roman" w:cs="Times New Roman"/>
          <w:b/>
          <w:bCs/>
          <w:sz w:val="22"/>
          <w:szCs w:val="22"/>
          <w:lang w:val="en-US" w:eastAsia="en-US"/>
        </w:rPr>
        <w:t>notification on the results of the additional issue of securities</w:t>
      </w:r>
      <w:bookmarkEnd w:id="0"/>
      <w:r w:rsidRPr="00B32574">
        <w:rPr>
          <w:rFonts w:ascii="Times New Roman" w:hAnsi="Times New Roman" w:cs="Times New Roman"/>
          <w:b/>
          <w:bCs/>
          <w:sz w:val="22"/>
          <w:szCs w:val="22"/>
          <w:lang w:val="en-US" w:eastAsia="en-US"/>
        </w:rPr>
        <w:t>”</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421"/>
        <w:gridCol w:w="1976"/>
        <w:gridCol w:w="2415"/>
      </w:tblGrid>
      <w:tr w:rsidR="00FB0052" w:rsidRPr="00B32574" w:rsidTr="001E4AEC">
        <w:tc>
          <w:tcPr>
            <w:tcW w:w="10207" w:type="dxa"/>
            <w:gridSpan w:val="4"/>
            <w:tcBorders>
              <w:top w:val="single" w:sz="4" w:space="0" w:color="auto"/>
              <w:left w:val="single" w:sz="4" w:space="0" w:color="auto"/>
              <w:bottom w:val="single" w:sz="4" w:space="0" w:color="auto"/>
              <w:right w:val="single" w:sz="4" w:space="0" w:color="auto"/>
            </w:tcBorders>
            <w:hideMark/>
          </w:tcPr>
          <w:p w:rsidR="00FB0052" w:rsidRPr="00B32574" w:rsidRDefault="00FB0052" w:rsidP="001E4AEC">
            <w:pPr>
              <w:pStyle w:val="a4"/>
              <w:numPr>
                <w:ilvl w:val="0"/>
                <w:numId w:val="1"/>
              </w:numPr>
              <w:spacing w:line="252" w:lineRule="auto"/>
              <w:ind w:left="0" w:firstLine="0"/>
              <w:jc w:val="center"/>
              <w:rPr>
                <w:rFonts w:ascii="Times New Roman" w:hAnsi="Times New Roman"/>
                <w:lang w:val="en-US"/>
              </w:rPr>
            </w:pPr>
            <w:r w:rsidRPr="00B32574">
              <w:rPr>
                <w:rFonts w:ascii="Times New Roman" w:hAnsi="Times New Roman"/>
                <w:lang w:val="en-US"/>
              </w:rPr>
              <w:t>General information</w:t>
            </w:r>
          </w:p>
        </w:tc>
      </w:tr>
      <w:tr w:rsidR="00FB0052" w:rsidRPr="00B32574" w:rsidTr="001E4AEC">
        <w:trPr>
          <w:trHeight w:val="599"/>
        </w:trPr>
        <w:tc>
          <w:tcPr>
            <w:tcW w:w="4395" w:type="dxa"/>
            <w:tcBorders>
              <w:top w:val="single" w:sz="4" w:space="0" w:color="auto"/>
              <w:left w:val="single" w:sz="4" w:space="0" w:color="auto"/>
              <w:bottom w:val="single" w:sz="4" w:space="0" w:color="auto"/>
              <w:right w:val="single" w:sz="4" w:space="0" w:color="auto"/>
            </w:tcBorders>
            <w:hideMark/>
          </w:tcPr>
          <w:p w:rsidR="00FB0052" w:rsidRPr="00B32574" w:rsidRDefault="00FB0052" w:rsidP="001E4AEC">
            <w:pPr>
              <w:pStyle w:val="a4"/>
              <w:spacing w:line="252" w:lineRule="auto"/>
              <w:rPr>
                <w:rFonts w:ascii="Times New Roman" w:hAnsi="Times New Roman"/>
                <w:lang w:val="en-US"/>
              </w:rPr>
            </w:pPr>
            <w:r w:rsidRPr="00B32574">
              <w:rPr>
                <w:rFonts w:ascii="Times New Roman" w:hAnsi="Times New Roman"/>
                <w:lang w:val="en-US"/>
              </w:rPr>
              <w:t xml:space="preserve">1.1  Full business name of the issuer </w:t>
            </w:r>
          </w:p>
        </w:tc>
        <w:tc>
          <w:tcPr>
            <w:tcW w:w="5812" w:type="dxa"/>
            <w:gridSpan w:val="3"/>
            <w:tcBorders>
              <w:top w:val="single" w:sz="4" w:space="0" w:color="auto"/>
              <w:left w:val="single" w:sz="4" w:space="0" w:color="auto"/>
              <w:bottom w:val="single" w:sz="4" w:space="0" w:color="auto"/>
              <w:right w:val="single" w:sz="4" w:space="0" w:color="auto"/>
            </w:tcBorders>
            <w:hideMark/>
          </w:tcPr>
          <w:p w:rsidR="00FB0052" w:rsidRPr="00B32574" w:rsidRDefault="00FB0052" w:rsidP="001E4AEC">
            <w:pPr>
              <w:pStyle w:val="a4"/>
              <w:spacing w:line="252" w:lineRule="auto"/>
              <w:rPr>
                <w:rFonts w:ascii="Times New Roman" w:hAnsi="Times New Roman"/>
                <w:lang w:val="en-US"/>
              </w:rPr>
            </w:pPr>
            <w:r w:rsidRPr="00B32574">
              <w:rPr>
                <w:rFonts w:ascii="Times New Roman" w:hAnsi="Times New Roman"/>
                <w:lang w:val="en-US"/>
              </w:rPr>
              <w:t>Public joint stock company of power industry  and electrification of Kuban</w:t>
            </w:r>
          </w:p>
        </w:tc>
      </w:tr>
      <w:tr w:rsidR="00FB0052" w:rsidRPr="00B32574" w:rsidTr="001E4AEC">
        <w:tc>
          <w:tcPr>
            <w:tcW w:w="4395" w:type="dxa"/>
            <w:tcBorders>
              <w:top w:val="single" w:sz="4" w:space="0" w:color="auto"/>
              <w:left w:val="single" w:sz="4" w:space="0" w:color="auto"/>
              <w:bottom w:val="single" w:sz="4" w:space="0" w:color="auto"/>
              <w:right w:val="single" w:sz="4" w:space="0" w:color="auto"/>
            </w:tcBorders>
            <w:hideMark/>
          </w:tcPr>
          <w:p w:rsidR="00FB0052" w:rsidRPr="00B32574" w:rsidRDefault="00FB0052" w:rsidP="001E4AEC">
            <w:pPr>
              <w:pStyle w:val="a4"/>
              <w:spacing w:line="252" w:lineRule="auto"/>
              <w:rPr>
                <w:rFonts w:ascii="Times New Roman" w:hAnsi="Times New Roman"/>
                <w:lang w:val="en-US"/>
              </w:rPr>
            </w:pPr>
            <w:r w:rsidRPr="00B32574">
              <w:rPr>
                <w:rFonts w:ascii="Times New Roman" w:hAnsi="Times New Roman"/>
                <w:lang w:val="en-US"/>
              </w:rPr>
              <w:t>1.2. Abbreviated business name of the issuer</w:t>
            </w:r>
          </w:p>
        </w:tc>
        <w:tc>
          <w:tcPr>
            <w:tcW w:w="5812" w:type="dxa"/>
            <w:gridSpan w:val="3"/>
            <w:tcBorders>
              <w:top w:val="single" w:sz="4" w:space="0" w:color="auto"/>
              <w:left w:val="single" w:sz="4" w:space="0" w:color="auto"/>
              <w:bottom w:val="single" w:sz="4" w:space="0" w:color="auto"/>
              <w:right w:val="single" w:sz="4" w:space="0" w:color="auto"/>
            </w:tcBorders>
            <w:hideMark/>
          </w:tcPr>
          <w:p w:rsidR="00FB0052" w:rsidRPr="00B32574" w:rsidRDefault="00FB0052" w:rsidP="001E4AEC">
            <w:pPr>
              <w:pStyle w:val="a4"/>
              <w:spacing w:line="252" w:lineRule="auto"/>
              <w:rPr>
                <w:rFonts w:ascii="Times New Roman" w:hAnsi="Times New Roman"/>
              </w:rPr>
            </w:pPr>
            <w:r w:rsidRPr="00B32574">
              <w:rPr>
                <w:rFonts w:ascii="Times New Roman" w:hAnsi="Times New Roman"/>
                <w:lang w:val="en-US"/>
              </w:rPr>
              <w:t>Kubanenergo PJSC</w:t>
            </w:r>
          </w:p>
        </w:tc>
      </w:tr>
      <w:tr w:rsidR="00FB0052" w:rsidRPr="00B32574" w:rsidTr="001E4AEC">
        <w:tc>
          <w:tcPr>
            <w:tcW w:w="4395" w:type="dxa"/>
            <w:tcBorders>
              <w:top w:val="single" w:sz="4" w:space="0" w:color="auto"/>
              <w:left w:val="single" w:sz="4" w:space="0" w:color="auto"/>
              <w:bottom w:val="single" w:sz="4" w:space="0" w:color="auto"/>
              <w:right w:val="single" w:sz="4" w:space="0" w:color="auto"/>
            </w:tcBorders>
            <w:hideMark/>
          </w:tcPr>
          <w:p w:rsidR="00FB0052" w:rsidRPr="00B32574" w:rsidRDefault="00FB0052" w:rsidP="001E4AEC">
            <w:pPr>
              <w:pStyle w:val="a4"/>
              <w:spacing w:line="252" w:lineRule="auto"/>
              <w:rPr>
                <w:rFonts w:ascii="Times New Roman" w:hAnsi="Times New Roman"/>
                <w:lang w:val="en-US"/>
              </w:rPr>
            </w:pPr>
            <w:r w:rsidRPr="00B32574">
              <w:rPr>
                <w:rFonts w:ascii="Times New Roman" w:hAnsi="Times New Roman"/>
              </w:rPr>
              <w:t xml:space="preserve">1.3. </w:t>
            </w:r>
            <w:r w:rsidRPr="00B32574">
              <w:rPr>
                <w:rFonts w:ascii="Times New Roman" w:hAnsi="Times New Roman"/>
                <w:lang w:val="en-US"/>
              </w:rPr>
              <w:t>Location of the issuer</w:t>
            </w:r>
          </w:p>
        </w:tc>
        <w:tc>
          <w:tcPr>
            <w:tcW w:w="5812" w:type="dxa"/>
            <w:gridSpan w:val="3"/>
            <w:tcBorders>
              <w:top w:val="single" w:sz="4" w:space="0" w:color="auto"/>
              <w:left w:val="single" w:sz="4" w:space="0" w:color="auto"/>
              <w:bottom w:val="single" w:sz="4" w:space="0" w:color="auto"/>
              <w:right w:val="single" w:sz="4" w:space="0" w:color="auto"/>
            </w:tcBorders>
            <w:hideMark/>
          </w:tcPr>
          <w:p w:rsidR="00FB0052" w:rsidRPr="00B32574" w:rsidRDefault="00FB0052" w:rsidP="001E4AEC">
            <w:pPr>
              <w:spacing w:line="252" w:lineRule="auto"/>
              <w:rPr>
                <w:sz w:val="22"/>
                <w:szCs w:val="22"/>
                <w:lang w:val="en-US" w:eastAsia="en-US"/>
              </w:rPr>
            </w:pPr>
            <w:r w:rsidRPr="00B32574">
              <w:rPr>
                <w:sz w:val="22"/>
                <w:szCs w:val="22"/>
                <w:lang w:val="en-US" w:eastAsia="en-US"/>
              </w:rPr>
              <w:t>Krasnodar, Russian Federation</w:t>
            </w:r>
          </w:p>
        </w:tc>
      </w:tr>
      <w:tr w:rsidR="00FB0052" w:rsidRPr="00B32574" w:rsidTr="001E4AEC">
        <w:tc>
          <w:tcPr>
            <w:tcW w:w="4395" w:type="dxa"/>
            <w:tcBorders>
              <w:top w:val="single" w:sz="4" w:space="0" w:color="auto"/>
              <w:left w:val="single" w:sz="4" w:space="0" w:color="auto"/>
              <w:bottom w:val="single" w:sz="4" w:space="0" w:color="auto"/>
              <w:right w:val="single" w:sz="4" w:space="0" w:color="auto"/>
            </w:tcBorders>
            <w:hideMark/>
          </w:tcPr>
          <w:p w:rsidR="00FB0052" w:rsidRPr="00B32574" w:rsidRDefault="00FB0052" w:rsidP="001E4AEC">
            <w:pPr>
              <w:pStyle w:val="a4"/>
              <w:spacing w:line="252" w:lineRule="auto"/>
              <w:rPr>
                <w:rFonts w:ascii="Times New Roman" w:hAnsi="Times New Roman"/>
                <w:lang w:val="en-US"/>
              </w:rPr>
            </w:pPr>
            <w:r w:rsidRPr="00B32574">
              <w:rPr>
                <w:rFonts w:ascii="Times New Roman" w:hAnsi="Times New Roman"/>
                <w:lang w:val="en-US"/>
              </w:rPr>
              <w:t>1.4. PSRN of the issuer</w:t>
            </w:r>
          </w:p>
        </w:tc>
        <w:tc>
          <w:tcPr>
            <w:tcW w:w="5812" w:type="dxa"/>
            <w:gridSpan w:val="3"/>
            <w:tcBorders>
              <w:top w:val="single" w:sz="4" w:space="0" w:color="auto"/>
              <w:left w:val="single" w:sz="4" w:space="0" w:color="auto"/>
              <w:bottom w:val="single" w:sz="4" w:space="0" w:color="auto"/>
              <w:right w:val="single" w:sz="4" w:space="0" w:color="auto"/>
            </w:tcBorders>
            <w:hideMark/>
          </w:tcPr>
          <w:p w:rsidR="00FB0052" w:rsidRPr="00B32574" w:rsidRDefault="00FB0052" w:rsidP="001E4AEC">
            <w:pPr>
              <w:pStyle w:val="a4"/>
              <w:spacing w:line="252" w:lineRule="auto"/>
              <w:rPr>
                <w:rFonts w:ascii="Times New Roman" w:hAnsi="Times New Roman"/>
              </w:rPr>
            </w:pPr>
            <w:r w:rsidRPr="00B32574">
              <w:rPr>
                <w:rFonts w:ascii="Times New Roman" w:hAnsi="Times New Roman"/>
              </w:rPr>
              <w:t>1022301427268</w:t>
            </w:r>
          </w:p>
        </w:tc>
      </w:tr>
      <w:tr w:rsidR="00FB0052" w:rsidRPr="00B32574" w:rsidTr="001E4AEC">
        <w:tc>
          <w:tcPr>
            <w:tcW w:w="4395" w:type="dxa"/>
            <w:tcBorders>
              <w:top w:val="single" w:sz="4" w:space="0" w:color="auto"/>
              <w:left w:val="single" w:sz="4" w:space="0" w:color="auto"/>
              <w:bottom w:val="single" w:sz="4" w:space="0" w:color="auto"/>
              <w:right w:val="single" w:sz="4" w:space="0" w:color="auto"/>
            </w:tcBorders>
            <w:hideMark/>
          </w:tcPr>
          <w:p w:rsidR="00FB0052" w:rsidRPr="00B32574" w:rsidRDefault="00FB0052" w:rsidP="001E4AEC">
            <w:pPr>
              <w:pStyle w:val="a4"/>
              <w:spacing w:line="252" w:lineRule="auto"/>
              <w:rPr>
                <w:rFonts w:ascii="Times New Roman" w:hAnsi="Times New Roman"/>
                <w:lang w:val="en-US"/>
              </w:rPr>
            </w:pPr>
            <w:r w:rsidRPr="00B32574">
              <w:rPr>
                <w:rFonts w:ascii="Times New Roman" w:hAnsi="Times New Roman"/>
                <w:lang w:val="en-US"/>
              </w:rPr>
              <w:t>1.5. TIN of the issuer</w:t>
            </w:r>
          </w:p>
        </w:tc>
        <w:tc>
          <w:tcPr>
            <w:tcW w:w="5812" w:type="dxa"/>
            <w:gridSpan w:val="3"/>
            <w:tcBorders>
              <w:top w:val="single" w:sz="4" w:space="0" w:color="auto"/>
              <w:left w:val="single" w:sz="4" w:space="0" w:color="auto"/>
              <w:bottom w:val="single" w:sz="4" w:space="0" w:color="auto"/>
              <w:right w:val="single" w:sz="4" w:space="0" w:color="auto"/>
            </w:tcBorders>
            <w:hideMark/>
          </w:tcPr>
          <w:p w:rsidR="00FB0052" w:rsidRPr="00B32574" w:rsidRDefault="00FB0052" w:rsidP="001E4AEC">
            <w:pPr>
              <w:pStyle w:val="a4"/>
              <w:spacing w:line="252" w:lineRule="auto"/>
              <w:rPr>
                <w:rFonts w:ascii="Times New Roman" w:hAnsi="Times New Roman"/>
              </w:rPr>
            </w:pPr>
            <w:r w:rsidRPr="00B32574">
              <w:rPr>
                <w:rFonts w:ascii="Times New Roman" w:hAnsi="Times New Roman"/>
              </w:rPr>
              <w:t>2309001660</w:t>
            </w:r>
          </w:p>
        </w:tc>
      </w:tr>
      <w:tr w:rsidR="00FB0052" w:rsidRPr="00B32574" w:rsidTr="001E4AEC">
        <w:tc>
          <w:tcPr>
            <w:tcW w:w="4395" w:type="dxa"/>
            <w:tcBorders>
              <w:top w:val="single" w:sz="4" w:space="0" w:color="auto"/>
              <w:left w:val="single" w:sz="4" w:space="0" w:color="auto"/>
              <w:bottom w:val="single" w:sz="4" w:space="0" w:color="auto"/>
              <w:right w:val="single" w:sz="4" w:space="0" w:color="auto"/>
            </w:tcBorders>
            <w:hideMark/>
          </w:tcPr>
          <w:p w:rsidR="00FB0052" w:rsidRPr="00B32574" w:rsidRDefault="00FB0052" w:rsidP="001E4AEC">
            <w:pPr>
              <w:pStyle w:val="a4"/>
              <w:spacing w:line="252" w:lineRule="auto"/>
              <w:rPr>
                <w:rFonts w:ascii="Times New Roman" w:hAnsi="Times New Roman"/>
                <w:lang w:val="en-US"/>
              </w:rPr>
            </w:pPr>
            <w:r w:rsidRPr="00B32574">
              <w:rPr>
                <w:rFonts w:ascii="Times New Roman" w:hAnsi="Times New Roman"/>
                <w:lang w:val="en-US"/>
              </w:rPr>
              <w:t xml:space="preserve">1.6. The </w:t>
            </w:r>
            <w:r w:rsidRPr="00B32574">
              <w:rPr>
                <w:rFonts w:ascii="Times New Roman" w:hAnsi="Times New Roman"/>
                <w:lang w:val="en-GB"/>
              </w:rPr>
              <w:t>issuer’s unique code assigned by the registering body</w:t>
            </w:r>
          </w:p>
        </w:tc>
        <w:tc>
          <w:tcPr>
            <w:tcW w:w="5812" w:type="dxa"/>
            <w:gridSpan w:val="3"/>
            <w:tcBorders>
              <w:top w:val="single" w:sz="4" w:space="0" w:color="auto"/>
              <w:left w:val="single" w:sz="4" w:space="0" w:color="auto"/>
              <w:bottom w:val="single" w:sz="4" w:space="0" w:color="auto"/>
              <w:right w:val="single" w:sz="4" w:space="0" w:color="auto"/>
            </w:tcBorders>
            <w:hideMark/>
          </w:tcPr>
          <w:p w:rsidR="00FB0052" w:rsidRPr="00B32574" w:rsidRDefault="00FB0052" w:rsidP="001E4AEC">
            <w:pPr>
              <w:pStyle w:val="a4"/>
              <w:spacing w:line="252" w:lineRule="auto"/>
              <w:rPr>
                <w:rFonts w:ascii="Times New Roman" w:hAnsi="Times New Roman"/>
                <w:lang w:val="en-US"/>
              </w:rPr>
            </w:pPr>
            <w:r w:rsidRPr="00B32574">
              <w:rPr>
                <w:rFonts w:ascii="Times New Roman" w:hAnsi="Times New Roman"/>
              </w:rPr>
              <w:t>00063-</w:t>
            </w:r>
            <w:r w:rsidRPr="00B32574">
              <w:rPr>
                <w:rFonts w:ascii="Times New Roman" w:hAnsi="Times New Roman"/>
                <w:lang w:val="en-US"/>
              </w:rPr>
              <w:t>A</w:t>
            </w:r>
          </w:p>
        </w:tc>
      </w:tr>
      <w:tr w:rsidR="00FB0052" w:rsidRPr="00B32574" w:rsidTr="001E4AEC">
        <w:tc>
          <w:tcPr>
            <w:tcW w:w="4395" w:type="dxa"/>
            <w:tcBorders>
              <w:top w:val="single" w:sz="4" w:space="0" w:color="auto"/>
              <w:left w:val="single" w:sz="4" w:space="0" w:color="auto"/>
              <w:bottom w:val="single" w:sz="4" w:space="0" w:color="auto"/>
              <w:right w:val="single" w:sz="4" w:space="0" w:color="auto"/>
            </w:tcBorders>
            <w:hideMark/>
          </w:tcPr>
          <w:p w:rsidR="00FB0052" w:rsidRPr="00B32574" w:rsidRDefault="00FB0052" w:rsidP="001E4AEC">
            <w:pPr>
              <w:pStyle w:val="a4"/>
              <w:spacing w:line="252" w:lineRule="auto"/>
              <w:rPr>
                <w:rFonts w:ascii="Times New Roman" w:hAnsi="Times New Roman"/>
                <w:lang w:val="en-US"/>
              </w:rPr>
            </w:pPr>
            <w:r w:rsidRPr="00B32574">
              <w:rPr>
                <w:rFonts w:ascii="Times New Roman" w:hAnsi="Times New Roman"/>
                <w:lang w:val="en-US"/>
              </w:rPr>
              <w:t xml:space="preserve">1.7. Website used by the issuer for information disclosure </w:t>
            </w:r>
          </w:p>
        </w:tc>
        <w:tc>
          <w:tcPr>
            <w:tcW w:w="5812" w:type="dxa"/>
            <w:gridSpan w:val="3"/>
            <w:tcBorders>
              <w:top w:val="single" w:sz="4" w:space="0" w:color="auto"/>
              <w:left w:val="single" w:sz="4" w:space="0" w:color="auto"/>
              <w:bottom w:val="single" w:sz="4" w:space="0" w:color="auto"/>
              <w:right w:val="single" w:sz="4" w:space="0" w:color="auto"/>
            </w:tcBorders>
            <w:hideMark/>
          </w:tcPr>
          <w:p w:rsidR="00FB0052" w:rsidRPr="00B32574" w:rsidRDefault="00FB0052" w:rsidP="001E4AEC">
            <w:pPr>
              <w:spacing w:line="252" w:lineRule="auto"/>
              <w:rPr>
                <w:rStyle w:val="a3"/>
                <w:color w:val="auto"/>
                <w:sz w:val="22"/>
                <w:szCs w:val="22"/>
                <w:lang w:val="en-US" w:eastAsia="en-US"/>
              </w:rPr>
            </w:pPr>
            <w:hyperlink r:id="rId6" w:history="1">
              <w:r w:rsidRPr="00B32574">
                <w:rPr>
                  <w:rStyle w:val="a3"/>
                  <w:sz w:val="22"/>
                  <w:szCs w:val="22"/>
                  <w:lang w:val="en-US" w:eastAsia="en-US"/>
                </w:rPr>
                <w:t>www.kubanenergo.ru</w:t>
              </w:r>
            </w:hyperlink>
            <w:r w:rsidRPr="00B32574">
              <w:rPr>
                <w:sz w:val="22"/>
                <w:szCs w:val="22"/>
                <w:lang w:val="en-US" w:eastAsia="en-US"/>
              </w:rPr>
              <w:t xml:space="preserve"> </w:t>
            </w:r>
          </w:p>
          <w:p w:rsidR="00FB0052" w:rsidRPr="00B32574" w:rsidRDefault="00FB0052" w:rsidP="001E4AEC">
            <w:pPr>
              <w:pStyle w:val="a4"/>
              <w:spacing w:line="252" w:lineRule="auto"/>
              <w:rPr>
                <w:rFonts w:ascii="Times New Roman" w:hAnsi="Times New Roman"/>
                <w:lang w:val="en-US"/>
              </w:rPr>
            </w:pPr>
            <w:hyperlink r:id="rId7" w:history="1">
              <w:r w:rsidRPr="00B32574">
                <w:rPr>
                  <w:rStyle w:val="a3"/>
                  <w:rFonts w:ascii="Times New Roman" w:hAnsi="Times New Roman"/>
                  <w:lang w:val="en-US"/>
                </w:rPr>
                <w:t>http://www.e-disclosure.ru/portal/company.aspx?id=2827</w:t>
              </w:r>
            </w:hyperlink>
          </w:p>
        </w:tc>
      </w:tr>
      <w:tr w:rsidR="00FB0052" w:rsidRPr="00B32574" w:rsidTr="001E4AEC">
        <w:tc>
          <w:tcPr>
            <w:tcW w:w="4395" w:type="dxa"/>
            <w:tcBorders>
              <w:top w:val="single" w:sz="4" w:space="0" w:color="auto"/>
              <w:left w:val="single" w:sz="4" w:space="0" w:color="auto"/>
              <w:bottom w:val="single" w:sz="4" w:space="0" w:color="auto"/>
              <w:right w:val="single" w:sz="4" w:space="0" w:color="auto"/>
            </w:tcBorders>
            <w:hideMark/>
          </w:tcPr>
          <w:p w:rsidR="00FB0052" w:rsidRPr="00B32574" w:rsidRDefault="00FB0052" w:rsidP="001E4AEC">
            <w:pPr>
              <w:pStyle w:val="a4"/>
              <w:spacing w:line="254" w:lineRule="auto"/>
              <w:rPr>
                <w:rFonts w:ascii="Times New Roman" w:hAnsi="Times New Roman"/>
                <w:lang w:val="en-US"/>
              </w:rPr>
            </w:pPr>
            <w:r w:rsidRPr="00B32574">
              <w:rPr>
                <w:rFonts w:ascii="Times New Roman" w:hAnsi="Times New Roman"/>
                <w:lang w:val="en-US"/>
              </w:rPr>
              <w:t>1.8. Date of the event (material fact) that is disclosed in the statement (if applicable)</w:t>
            </w:r>
          </w:p>
        </w:tc>
        <w:tc>
          <w:tcPr>
            <w:tcW w:w="5812" w:type="dxa"/>
            <w:gridSpan w:val="3"/>
            <w:tcBorders>
              <w:top w:val="single" w:sz="4" w:space="0" w:color="auto"/>
              <w:left w:val="single" w:sz="4" w:space="0" w:color="auto"/>
              <w:bottom w:val="single" w:sz="4" w:space="0" w:color="auto"/>
              <w:right w:val="single" w:sz="4" w:space="0" w:color="auto"/>
            </w:tcBorders>
            <w:hideMark/>
          </w:tcPr>
          <w:p w:rsidR="00FB0052" w:rsidRPr="00B32574" w:rsidRDefault="00FB0052" w:rsidP="001E4AEC">
            <w:pPr>
              <w:pStyle w:val="a4"/>
              <w:spacing w:line="254" w:lineRule="auto"/>
              <w:rPr>
                <w:rFonts w:ascii="Times New Roman" w:hAnsi="Times New Roman"/>
                <w:lang w:val="en-US"/>
              </w:rPr>
            </w:pPr>
            <w:r w:rsidRPr="00B32574">
              <w:rPr>
                <w:rFonts w:ascii="Times New Roman" w:hAnsi="Times New Roman"/>
                <w:lang w:val="en-US"/>
              </w:rPr>
              <w:t>24.07.2019</w:t>
            </w:r>
          </w:p>
        </w:tc>
      </w:tr>
      <w:tr w:rsidR="00FB0052" w:rsidRPr="00B32574" w:rsidTr="001E4AEC">
        <w:tc>
          <w:tcPr>
            <w:tcW w:w="10207"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B0052" w:rsidRPr="00B32574" w:rsidRDefault="00FB0052" w:rsidP="00FB0052">
            <w:pPr>
              <w:pStyle w:val="a5"/>
              <w:numPr>
                <w:ilvl w:val="0"/>
                <w:numId w:val="1"/>
              </w:numPr>
              <w:spacing w:line="252" w:lineRule="auto"/>
              <w:jc w:val="center"/>
              <w:rPr>
                <w:sz w:val="22"/>
                <w:szCs w:val="22"/>
                <w:lang w:val="en-US" w:eastAsia="en-US"/>
              </w:rPr>
            </w:pPr>
            <w:r w:rsidRPr="00B32574">
              <w:rPr>
                <w:sz w:val="22"/>
                <w:szCs w:val="22"/>
                <w:lang w:val="en-US" w:eastAsia="en-US"/>
              </w:rPr>
              <w:t>Statement content</w:t>
            </w:r>
          </w:p>
        </w:tc>
      </w:tr>
      <w:tr w:rsidR="00FB0052" w:rsidRPr="00B32574" w:rsidTr="001E4AEC">
        <w:trPr>
          <w:trHeight w:val="485"/>
        </w:trPr>
        <w:tc>
          <w:tcPr>
            <w:tcW w:w="10207"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B0052" w:rsidRPr="00B32574" w:rsidRDefault="00FB0052" w:rsidP="001E4AEC">
            <w:pPr>
              <w:spacing w:line="252" w:lineRule="auto"/>
              <w:jc w:val="both"/>
              <w:rPr>
                <w:sz w:val="22"/>
                <w:szCs w:val="22"/>
                <w:lang w:val="en-US" w:eastAsia="en-US"/>
              </w:rPr>
            </w:pPr>
            <w:r w:rsidRPr="00B32574">
              <w:rPr>
                <w:sz w:val="22"/>
                <w:szCs w:val="22"/>
                <w:lang w:val="en-US" w:eastAsia="en-US"/>
              </w:rPr>
              <w:t xml:space="preserve">2.1. Brief description of the event (action), the occurrence (fulfillment) of which, in the issuer’s opinion, influences the cost of its securities: </w:t>
            </w:r>
          </w:p>
          <w:p w:rsidR="00FB0052" w:rsidRPr="00B32574" w:rsidRDefault="005E1411" w:rsidP="005E1411">
            <w:pPr>
              <w:spacing w:line="252" w:lineRule="auto"/>
              <w:jc w:val="both"/>
              <w:rPr>
                <w:b/>
                <w:sz w:val="22"/>
                <w:szCs w:val="22"/>
                <w:lang w:val="en-US" w:eastAsia="en-US"/>
              </w:rPr>
            </w:pPr>
            <w:r w:rsidRPr="00B32574">
              <w:rPr>
                <w:b/>
                <w:sz w:val="22"/>
                <w:szCs w:val="22"/>
                <w:lang w:val="en-US" w:eastAsia="en-US"/>
              </w:rPr>
              <w:t xml:space="preserve">The issuer intents to submit the Notification on the </w:t>
            </w:r>
            <w:r w:rsidRPr="00B32574">
              <w:rPr>
                <w:b/>
                <w:sz w:val="22"/>
                <w:szCs w:val="22"/>
                <w:lang w:val="en-US" w:eastAsia="en-US"/>
              </w:rPr>
              <w:t>results of the additional issue of securities</w:t>
            </w:r>
            <w:r w:rsidRPr="00B32574">
              <w:rPr>
                <w:b/>
                <w:sz w:val="22"/>
                <w:szCs w:val="22"/>
                <w:lang w:val="en-US" w:eastAsia="en-US"/>
              </w:rPr>
              <w:t xml:space="preserve"> </w:t>
            </w:r>
            <w:r w:rsidRPr="00B32574">
              <w:rPr>
                <w:b/>
                <w:sz w:val="22"/>
                <w:szCs w:val="22"/>
                <w:lang w:val="en-US" w:eastAsia="en-US"/>
              </w:rPr>
              <w:t>to the Bank of Russia</w:t>
            </w:r>
            <w:r w:rsidRPr="00B32574">
              <w:rPr>
                <w:b/>
                <w:sz w:val="22"/>
                <w:szCs w:val="22"/>
                <w:lang w:val="en-US" w:eastAsia="en-US"/>
              </w:rPr>
              <w:t xml:space="preserve"> within 30 days after completion of placement of ordinary registered uncertified shares of the additional issue (state registration number of the additional issue of securities and the date of state registration: 1-02-00063-A, 18 July 2019), on condition that the requirements specified in paragraph 2 of Article 25 of the Federal Law “On the Securities Market” are observed.</w:t>
            </w:r>
          </w:p>
          <w:p w:rsidR="005E1411" w:rsidRPr="00B32574" w:rsidRDefault="005E1411" w:rsidP="005E1411">
            <w:pPr>
              <w:spacing w:line="252" w:lineRule="auto"/>
              <w:jc w:val="both"/>
              <w:rPr>
                <w:sz w:val="22"/>
                <w:szCs w:val="22"/>
                <w:lang w:val="en-US"/>
              </w:rPr>
            </w:pPr>
            <w:r w:rsidRPr="00B32574">
              <w:rPr>
                <w:sz w:val="22"/>
                <w:szCs w:val="22"/>
                <w:lang w:val="en-US" w:eastAsia="en-US"/>
              </w:rPr>
              <w:t>2.2</w:t>
            </w:r>
            <w:r w:rsidRPr="00B32574">
              <w:rPr>
                <w:sz w:val="22"/>
                <w:szCs w:val="22"/>
                <w:lang w:val="en-US"/>
              </w:rPr>
              <w:t>. If the event (action) is related to a third party or is associated with it, the issuer shall indicate the full company name (for non-profit organizations - name), location, TIN (if applicable), PSRN (if applicable) or last name, first name, patronymic name (if available) of such person:</w:t>
            </w:r>
          </w:p>
          <w:p w:rsidR="005E1411" w:rsidRPr="00B32574" w:rsidRDefault="005E1411" w:rsidP="005E1411">
            <w:pPr>
              <w:spacing w:line="252" w:lineRule="auto"/>
              <w:jc w:val="both"/>
              <w:rPr>
                <w:b/>
                <w:sz w:val="22"/>
                <w:szCs w:val="22"/>
                <w:lang w:val="en-US" w:eastAsia="en-US"/>
              </w:rPr>
            </w:pPr>
            <w:r w:rsidRPr="00B32574">
              <w:rPr>
                <w:b/>
                <w:sz w:val="22"/>
                <w:szCs w:val="22"/>
                <w:lang w:val="en-US" w:eastAsia="en-US"/>
              </w:rPr>
              <w:t>The event (action) is not connected with or related to a third party.</w:t>
            </w:r>
          </w:p>
          <w:p w:rsidR="005E1411" w:rsidRPr="00B32574" w:rsidRDefault="005E1411" w:rsidP="005E1411">
            <w:pPr>
              <w:spacing w:line="252" w:lineRule="auto"/>
              <w:jc w:val="both"/>
              <w:rPr>
                <w:sz w:val="22"/>
                <w:szCs w:val="22"/>
                <w:lang w:val="en-US"/>
              </w:rPr>
            </w:pPr>
            <w:r w:rsidRPr="00B32574">
              <w:rPr>
                <w:sz w:val="22"/>
                <w:szCs w:val="22"/>
                <w:lang w:val="en-US" w:eastAsia="en-US"/>
              </w:rPr>
              <w:t xml:space="preserve">2.3. </w:t>
            </w:r>
            <w:r w:rsidR="00FE0F1D" w:rsidRPr="00B32574">
              <w:rPr>
                <w:sz w:val="22"/>
                <w:szCs w:val="22"/>
                <w:lang w:val="en-US"/>
              </w:rPr>
              <w:t>If the event (action) is related to a decision made by the authorized management body of the issuer or a third party, or associated with such a decision</w:t>
            </w:r>
            <w:r w:rsidR="00FE0F1D" w:rsidRPr="00B32574">
              <w:rPr>
                <w:sz w:val="22"/>
                <w:szCs w:val="22"/>
                <w:lang w:val="en-US"/>
              </w:rPr>
              <w:t xml:space="preserve">, the issuer shall indicate </w:t>
            </w:r>
            <w:r w:rsidR="00FE0F1D" w:rsidRPr="00B32574">
              <w:rPr>
                <w:sz w:val="22"/>
                <w:szCs w:val="22"/>
                <w:lang w:val="en-US"/>
              </w:rPr>
              <w:t>the name of the authorized management body, the date of adoption and the content of the decision, the date of drawing up and the minutes of the meeting (session) of the authorized if the decision is adopted by the collegiate management body of the person:</w:t>
            </w:r>
          </w:p>
          <w:p w:rsidR="00FE0F1D" w:rsidRPr="00B32574" w:rsidRDefault="00FE0F1D" w:rsidP="005E1411">
            <w:pPr>
              <w:spacing w:line="252" w:lineRule="auto"/>
              <w:jc w:val="both"/>
              <w:rPr>
                <w:b/>
                <w:sz w:val="22"/>
                <w:szCs w:val="22"/>
                <w:lang w:val="en-US"/>
              </w:rPr>
            </w:pPr>
            <w:r w:rsidRPr="00B32574">
              <w:rPr>
                <w:b/>
                <w:sz w:val="22"/>
                <w:szCs w:val="22"/>
                <w:lang w:val="en-US" w:eastAsia="en-US"/>
              </w:rPr>
              <w:t>The event (action) is not connected with or related to</w:t>
            </w:r>
            <w:r w:rsidRPr="00B32574">
              <w:rPr>
                <w:b/>
                <w:sz w:val="22"/>
                <w:szCs w:val="22"/>
                <w:lang w:val="en-US" w:eastAsia="en-US"/>
              </w:rPr>
              <w:t xml:space="preserve"> a d</w:t>
            </w:r>
            <w:r w:rsidRPr="00B32574">
              <w:rPr>
                <w:b/>
                <w:sz w:val="22"/>
                <w:szCs w:val="22"/>
                <w:lang w:val="en-US"/>
              </w:rPr>
              <w:t>ecision made by the authorized management body of the issuer or a third party</w:t>
            </w:r>
            <w:r w:rsidRPr="00B32574">
              <w:rPr>
                <w:b/>
                <w:sz w:val="22"/>
                <w:szCs w:val="22"/>
                <w:lang w:val="en-US" w:eastAsia="en-US"/>
              </w:rPr>
              <w:t xml:space="preserve"> </w:t>
            </w:r>
          </w:p>
          <w:p w:rsidR="005E1411" w:rsidRPr="00B32574" w:rsidRDefault="00FE0F1D" w:rsidP="00054921">
            <w:pPr>
              <w:spacing w:line="252" w:lineRule="auto"/>
              <w:jc w:val="both"/>
              <w:rPr>
                <w:sz w:val="22"/>
                <w:szCs w:val="22"/>
                <w:lang w:val="en-US" w:eastAsia="en-US"/>
              </w:rPr>
            </w:pPr>
            <w:r w:rsidRPr="00B32574">
              <w:rPr>
                <w:sz w:val="22"/>
                <w:szCs w:val="22"/>
                <w:lang w:val="en-US" w:eastAsia="en-US"/>
              </w:rPr>
              <w:t xml:space="preserve">2.4. </w:t>
            </w:r>
            <w:r w:rsidR="00054921" w:rsidRPr="00B32574">
              <w:rPr>
                <w:sz w:val="22"/>
                <w:szCs w:val="22"/>
                <w:lang w:val="en-US" w:eastAsia="en-US"/>
              </w:rPr>
              <w:t xml:space="preserve">If the event (action) </w:t>
            </w:r>
            <w:r w:rsidR="00054921" w:rsidRPr="00B32574">
              <w:rPr>
                <w:sz w:val="22"/>
                <w:szCs w:val="22"/>
                <w:lang w:val="en-US"/>
              </w:rPr>
              <w:t xml:space="preserve">is related to </w:t>
            </w:r>
            <w:r w:rsidR="00054921" w:rsidRPr="00B32574">
              <w:rPr>
                <w:sz w:val="22"/>
                <w:szCs w:val="22"/>
                <w:lang w:val="en-US" w:eastAsia="en-US"/>
              </w:rPr>
              <w:t>or may have a significant impact on the value of certain issuer’s securities</w:t>
            </w:r>
            <w:r w:rsidR="00054921" w:rsidRPr="00B32574">
              <w:rPr>
                <w:sz w:val="22"/>
                <w:szCs w:val="22"/>
                <w:lang w:val="en-US"/>
              </w:rPr>
              <w:t>, the issuer shall indicate</w:t>
            </w:r>
            <w:r w:rsidR="00054921" w:rsidRPr="00B32574">
              <w:rPr>
                <w:sz w:val="22"/>
                <w:szCs w:val="22"/>
                <w:lang w:val="en-US" w:eastAsia="en-US"/>
              </w:rPr>
              <w:t xml:space="preserve"> type, category (type) and other identification characteristics of such issuer issuable securities: ordinary registered uncertified shares, state registration number of the additional issue of securities and the date of state registration:</w:t>
            </w:r>
          </w:p>
          <w:p w:rsidR="00054921" w:rsidRPr="00B32574" w:rsidRDefault="00054921" w:rsidP="00054921">
            <w:pPr>
              <w:spacing w:line="252" w:lineRule="auto"/>
              <w:jc w:val="both"/>
              <w:rPr>
                <w:b/>
                <w:sz w:val="22"/>
                <w:szCs w:val="22"/>
                <w:lang w:val="en-US" w:eastAsia="en-US"/>
              </w:rPr>
            </w:pPr>
            <w:r w:rsidRPr="00B32574">
              <w:rPr>
                <w:b/>
                <w:sz w:val="22"/>
                <w:szCs w:val="22"/>
                <w:lang w:val="en-US" w:eastAsia="en-US"/>
              </w:rPr>
              <w:t>1-02-00063-A; 18 July 2019</w:t>
            </w:r>
          </w:p>
          <w:p w:rsidR="00054921" w:rsidRPr="00B32574" w:rsidRDefault="00054921" w:rsidP="00054921">
            <w:pPr>
              <w:spacing w:line="252" w:lineRule="auto"/>
              <w:jc w:val="both"/>
              <w:rPr>
                <w:sz w:val="22"/>
                <w:szCs w:val="22"/>
                <w:lang w:val="en-US" w:eastAsia="en-US"/>
              </w:rPr>
            </w:pPr>
            <w:r w:rsidRPr="00B32574">
              <w:rPr>
                <w:b/>
                <w:sz w:val="22"/>
                <w:szCs w:val="22"/>
                <w:lang w:val="en-US" w:eastAsia="en-US"/>
              </w:rPr>
              <w:t>International Securities Identification Number (ISIN):</w:t>
            </w:r>
            <w:r w:rsidRPr="00B32574">
              <w:rPr>
                <w:sz w:val="22"/>
                <w:szCs w:val="22"/>
                <w:lang w:val="en-US" w:eastAsia="en-US"/>
              </w:rPr>
              <w:t xml:space="preserve"> </w:t>
            </w:r>
            <w:r w:rsidRPr="00B32574">
              <w:rPr>
                <w:b/>
                <w:color w:val="000000"/>
                <w:sz w:val="22"/>
                <w:szCs w:val="22"/>
                <w:shd w:val="clear" w:color="auto" w:fill="FFFFFF"/>
                <w:lang w:val="en-US"/>
              </w:rPr>
              <w:t>RU0009046767</w:t>
            </w:r>
          </w:p>
          <w:p w:rsidR="00054921" w:rsidRPr="00B32574" w:rsidRDefault="00054921" w:rsidP="00B32574">
            <w:pPr>
              <w:spacing w:line="252" w:lineRule="auto"/>
              <w:jc w:val="both"/>
              <w:rPr>
                <w:sz w:val="22"/>
                <w:szCs w:val="22"/>
                <w:lang w:val="en-US" w:eastAsia="en-US"/>
              </w:rPr>
            </w:pPr>
            <w:r w:rsidRPr="00B32574">
              <w:rPr>
                <w:sz w:val="22"/>
                <w:szCs w:val="22"/>
                <w:lang w:val="en-US" w:eastAsia="en-US"/>
              </w:rPr>
              <w:t xml:space="preserve">2.5. </w:t>
            </w:r>
            <w:r w:rsidR="00B32574" w:rsidRPr="00B32574">
              <w:rPr>
                <w:sz w:val="22"/>
                <w:szCs w:val="22"/>
                <w:lang w:val="en-US" w:eastAsia="en-US"/>
              </w:rPr>
              <w:t xml:space="preserve">The date of the occurrence of the event (performance of the action), and if the event occurs in relation to a third party (the action is performed by a third party), also the date on which the issuer learned of the occurrence of the event (the action was taken): in accordance with the Article 25 of the Federal Law of No.39-FZ of 22.04.1996 (amendments No.60 of 13.07.2015) “On the Securities Market”, </w:t>
            </w:r>
            <w:r w:rsidR="00B32574" w:rsidRPr="00B32574">
              <w:rPr>
                <w:b/>
                <w:sz w:val="22"/>
                <w:szCs w:val="22"/>
                <w:lang w:val="en-US" w:eastAsia="en-US"/>
              </w:rPr>
              <w:t xml:space="preserve">the issuer is obliged to disclose information about the intention to submit a notice on the results of the additional issue of securities prior to the start of their placement. The issuer must submit a notification on the results of the additional issue of securities </w:t>
            </w:r>
            <w:r w:rsidR="00B32574" w:rsidRPr="00B32574">
              <w:rPr>
                <w:b/>
                <w:sz w:val="22"/>
                <w:szCs w:val="22"/>
                <w:lang w:val="en-US" w:eastAsia="en-US"/>
              </w:rPr>
              <w:t xml:space="preserve">to the Bank of Russia </w:t>
            </w:r>
            <w:r w:rsidR="00B32574" w:rsidRPr="00B32574">
              <w:rPr>
                <w:b/>
                <w:sz w:val="22"/>
                <w:szCs w:val="22"/>
                <w:lang w:val="en-US" w:eastAsia="en-US"/>
              </w:rPr>
              <w:t>within 30 days after completion of placement of shares of the additional issue.</w:t>
            </w:r>
          </w:p>
        </w:tc>
      </w:tr>
      <w:tr w:rsidR="00FB0052" w:rsidRPr="00B32574" w:rsidTr="001E4AEC">
        <w:trPr>
          <w:cantSplit/>
        </w:trPr>
        <w:tc>
          <w:tcPr>
            <w:tcW w:w="10207"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B0052" w:rsidRPr="00B32574" w:rsidRDefault="00FB0052" w:rsidP="001E4AEC">
            <w:pPr>
              <w:tabs>
                <w:tab w:val="left" w:pos="142"/>
                <w:tab w:val="left" w:pos="9465"/>
              </w:tabs>
              <w:spacing w:line="252" w:lineRule="auto"/>
              <w:ind w:left="142" w:right="189"/>
              <w:jc w:val="center"/>
              <w:rPr>
                <w:sz w:val="22"/>
                <w:szCs w:val="22"/>
                <w:lang w:val="en-US" w:eastAsia="en-US"/>
              </w:rPr>
            </w:pPr>
            <w:r w:rsidRPr="00B32574">
              <w:rPr>
                <w:sz w:val="22"/>
                <w:szCs w:val="22"/>
                <w:lang w:val="en-US" w:eastAsia="en-US"/>
              </w:rPr>
              <w:t xml:space="preserve">3. Signature </w:t>
            </w:r>
          </w:p>
        </w:tc>
      </w:tr>
      <w:tr w:rsidR="00FB0052" w:rsidRPr="00B32574" w:rsidTr="001E4AEC">
        <w:trPr>
          <w:cantSplit/>
          <w:trHeight w:val="1187"/>
        </w:trPr>
        <w:tc>
          <w:tcPr>
            <w:tcW w:w="5816" w:type="dxa"/>
            <w:gridSpan w:val="2"/>
            <w:tcBorders>
              <w:top w:val="single" w:sz="4" w:space="0" w:color="auto"/>
              <w:left w:val="single" w:sz="4" w:space="0" w:color="auto"/>
              <w:bottom w:val="nil"/>
              <w:right w:val="nil"/>
            </w:tcBorders>
            <w:tcMar>
              <w:top w:w="0" w:type="dxa"/>
              <w:left w:w="28" w:type="dxa"/>
              <w:bottom w:w="0" w:type="dxa"/>
              <w:right w:w="28" w:type="dxa"/>
            </w:tcMar>
            <w:vAlign w:val="bottom"/>
          </w:tcPr>
          <w:p w:rsidR="00FB0052" w:rsidRPr="00B32574" w:rsidRDefault="00FB0052" w:rsidP="001E4AEC">
            <w:pPr>
              <w:pStyle w:val="Default"/>
              <w:spacing w:line="252" w:lineRule="auto"/>
              <w:jc w:val="both"/>
              <w:rPr>
                <w:color w:val="auto"/>
                <w:sz w:val="22"/>
                <w:szCs w:val="22"/>
                <w:lang w:val="en-US"/>
              </w:rPr>
            </w:pPr>
            <w:r w:rsidRPr="00B32574">
              <w:rPr>
                <w:color w:val="auto"/>
                <w:sz w:val="22"/>
                <w:szCs w:val="22"/>
                <w:lang w:val="en-US"/>
              </w:rPr>
              <w:t xml:space="preserve">3.1 Head of Corporate Governance and Shareholder Relations Department (by power of attorney No.119/10-1406 </w:t>
            </w:r>
            <w:r w:rsidRPr="00B32574">
              <w:rPr>
                <w:sz w:val="22"/>
                <w:szCs w:val="22"/>
                <w:lang w:val="en-US"/>
              </w:rPr>
              <w:t>of 19.12.2018)</w:t>
            </w:r>
          </w:p>
          <w:p w:rsidR="00FB0052" w:rsidRPr="00B32574" w:rsidRDefault="00FB0052" w:rsidP="001E4AEC">
            <w:pPr>
              <w:spacing w:line="252" w:lineRule="auto"/>
              <w:ind w:left="57"/>
              <w:rPr>
                <w:sz w:val="22"/>
                <w:szCs w:val="22"/>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FB0052" w:rsidRPr="00B32574" w:rsidRDefault="00FB0052" w:rsidP="001E4AEC">
            <w:pPr>
              <w:spacing w:line="252" w:lineRule="auto"/>
              <w:jc w:val="center"/>
              <w:rPr>
                <w:sz w:val="22"/>
                <w:szCs w:val="22"/>
                <w:lang w:val="en-US" w:eastAsia="en-US"/>
              </w:rPr>
            </w:pPr>
            <w:r w:rsidRPr="00B32574">
              <w:rPr>
                <w:sz w:val="22"/>
                <w:szCs w:val="22"/>
                <w:lang w:val="en-US" w:eastAsia="en-US"/>
              </w:rPr>
              <w:t>________________</w:t>
            </w:r>
          </w:p>
          <w:p w:rsidR="00FB0052" w:rsidRPr="00B32574" w:rsidRDefault="00FB0052" w:rsidP="001E4AEC">
            <w:pPr>
              <w:spacing w:line="252" w:lineRule="auto"/>
              <w:jc w:val="center"/>
              <w:rPr>
                <w:sz w:val="22"/>
                <w:szCs w:val="22"/>
                <w:lang w:val="en-US" w:eastAsia="en-US"/>
              </w:rPr>
            </w:pPr>
            <w:r w:rsidRPr="00B32574">
              <w:rPr>
                <w:sz w:val="22"/>
                <w:szCs w:val="22"/>
                <w:lang w:val="en-US" w:eastAsia="en-US"/>
              </w:rPr>
              <w:t>(signature)</w:t>
            </w:r>
          </w:p>
        </w:tc>
        <w:tc>
          <w:tcPr>
            <w:tcW w:w="2415" w:type="dxa"/>
            <w:tcBorders>
              <w:top w:val="single" w:sz="4" w:space="0" w:color="auto"/>
              <w:left w:val="nil"/>
              <w:bottom w:val="nil"/>
              <w:right w:val="single" w:sz="4" w:space="0" w:color="auto"/>
            </w:tcBorders>
            <w:tcMar>
              <w:top w:w="0" w:type="dxa"/>
              <w:left w:w="28" w:type="dxa"/>
              <w:bottom w:w="0" w:type="dxa"/>
              <w:right w:w="28" w:type="dxa"/>
            </w:tcMar>
            <w:vAlign w:val="bottom"/>
          </w:tcPr>
          <w:p w:rsidR="00FB0052" w:rsidRPr="00B32574" w:rsidRDefault="00FB0052" w:rsidP="001E4AEC">
            <w:pPr>
              <w:spacing w:line="252" w:lineRule="auto"/>
              <w:rPr>
                <w:sz w:val="22"/>
                <w:szCs w:val="22"/>
                <w:lang w:val="en-US" w:eastAsia="en-US"/>
              </w:rPr>
            </w:pPr>
            <w:proofErr w:type="spellStart"/>
            <w:r w:rsidRPr="00B32574">
              <w:rPr>
                <w:sz w:val="22"/>
                <w:szCs w:val="22"/>
                <w:lang w:val="en-US" w:eastAsia="en-US"/>
              </w:rPr>
              <w:t>Didenko</w:t>
            </w:r>
            <w:proofErr w:type="spellEnd"/>
            <w:r w:rsidRPr="00B32574">
              <w:rPr>
                <w:sz w:val="22"/>
                <w:szCs w:val="22"/>
                <w:lang w:val="en-US" w:eastAsia="en-US"/>
              </w:rPr>
              <w:t xml:space="preserve"> </w:t>
            </w:r>
            <w:proofErr w:type="spellStart"/>
            <w:r w:rsidRPr="00B32574">
              <w:rPr>
                <w:sz w:val="22"/>
                <w:szCs w:val="22"/>
                <w:lang w:val="en-US" w:eastAsia="en-US"/>
              </w:rPr>
              <w:t>Ye.Ye</w:t>
            </w:r>
            <w:proofErr w:type="spellEnd"/>
            <w:r w:rsidRPr="00B32574">
              <w:rPr>
                <w:sz w:val="22"/>
                <w:szCs w:val="22"/>
                <w:lang w:val="en-US" w:eastAsia="en-US"/>
              </w:rPr>
              <w:t>.</w:t>
            </w:r>
          </w:p>
          <w:p w:rsidR="00FB0052" w:rsidRPr="00B32574" w:rsidRDefault="00FB0052" w:rsidP="001E4AEC">
            <w:pPr>
              <w:spacing w:line="252" w:lineRule="auto"/>
              <w:rPr>
                <w:sz w:val="22"/>
                <w:szCs w:val="22"/>
                <w:lang w:val="en-US" w:eastAsia="en-US"/>
              </w:rPr>
            </w:pPr>
          </w:p>
          <w:p w:rsidR="00FB0052" w:rsidRPr="00B32574" w:rsidRDefault="00FB0052" w:rsidP="001E4AEC">
            <w:pPr>
              <w:spacing w:line="252" w:lineRule="auto"/>
              <w:rPr>
                <w:sz w:val="22"/>
                <w:szCs w:val="22"/>
                <w:lang w:val="en-US" w:eastAsia="en-US"/>
              </w:rPr>
            </w:pPr>
          </w:p>
        </w:tc>
      </w:tr>
      <w:tr w:rsidR="00FB0052" w:rsidRPr="00B32574" w:rsidTr="001E4AEC">
        <w:trPr>
          <w:cantSplit/>
          <w:trHeight w:val="645"/>
        </w:trPr>
        <w:tc>
          <w:tcPr>
            <w:tcW w:w="5816" w:type="dxa"/>
            <w:gridSpan w:val="2"/>
            <w:tcBorders>
              <w:top w:val="nil"/>
              <w:left w:val="single" w:sz="4" w:space="0" w:color="auto"/>
              <w:bottom w:val="single" w:sz="4" w:space="0" w:color="auto"/>
              <w:right w:val="nil"/>
            </w:tcBorders>
            <w:tcMar>
              <w:top w:w="0" w:type="dxa"/>
              <w:left w:w="28" w:type="dxa"/>
              <w:bottom w:w="0" w:type="dxa"/>
              <w:right w:w="28" w:type="dxa"/>
            </w:tcMar>
            <w:vAlign w:val="bottom"/>
            <w:hideMark/>
          </w:tcPr>
          <w:p w:rsidR="00FB0052" w:rsidRPr="00B32574" w:rsidRDefault="00FB0052" w:rsidP="00054921">
            <w:pPr>
              <w:spacing w:line="252" w:lineRule="auto"/>
              <w:rPr>
                <w:sz w:val="22"/>
                <w:szCs w:val="22"/>
                <w:lang w:val="en-US" w:eastAsia="en-US"/>
              </w:rPr>
            </w:pPr>
            <w:r w:rsidRPr="00B32574">
              <w:rPr>
                <w:sz w:val="22"/>
                <w:szCs w:val="22"/>
                <w:lang w:val="en-US" w:eastAsia="en-US"/>
              </w:rPr>
              <w:t>3.2 Date: 24 Ju</w:t>
            </w:r>
            <w:r w:rsidRPr="00B32574">
              <w:rPr>
                <w:sz w:val="22"/>
                <w:szCs w:val="22"/>
                <w:lang w:val="en-US" w:eastAsia="en-US"/>
              </w:rPr>
              <w:t>ly</w:t>
            </w:r>
            <w:r w:rsidRPr="00B32574">
              <w:rPr>
                <w:sz w:val="22"/>
                <w:szCs w:val="22"/>
                <w:lang w:val="en-US" w:eastAsia="en-US"/>
              </w:rPr>
              <w:t xml:space="preserve"> 2019</w:t>
            </w:r>
            <w:r w:rsidRPr="00B32574">
              <w:rPr>
                <w:b/>
                <w:bCs/>
                <w:sz w:val="22"/>
                <w:szCs w:val="22"/>
                <w:lang w:val="en-US" w:eastAsia="en-US"/>
              </w:rPr>
              <w:t xml:space="preserve"> </w:t>
            </w:r>
            <w:r w:rsidRPr="00B32574">
              <w:rPr>
                <w:sz w:val="22"/>
                <w:szCs w:val="22"/>
                <w:lang w:val="en-US" w:eastAsia="en-US"/>
              </w:rPr>
              <w:t xml:space="preserve"> </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FB0052" w:rsidRPr="00B32574" w:rsidRDefault="00FB0052" w:rsidP="001E4AEC">
            <w:pPr>
              <w:spacing w:line="252" w:lineRule="auto"/>
              <w:jc w:val="center"/>
              <w:rPr>
                <w:sz w:val="22"/>
                <w:szCs w:val="22"/>
                <w:lang w:val="en-US" w:eastAsia="en-US"/>
              </w:rPr>
            </w:pPr>
            <w:r w:rsidRPr="00B32574">
              <w:rPr>
                <w:sz w:val="22"/>
                <w:szCs w:val="22"/>
                <w:lang w:val="en-US" w:eastAsia="en-US"/>
              </w:rPr>
              <w:t xml:space="preserve">seal </w:t>
            </w:r>
          </w:p>
        </w:tc>
        <w:tc>
          <w:tcPr>
            <w:tcW w:w="2415" w:type="dxa"/>
            <w:tcBorders>
              <w:top w:val="nil"/>
              <w:left w:val="nil"/>
              <w:bottom w:val="single" w:sz="4" w:space="0" w:color="auto"/>
              <w:right w:val="single" w:sz="4" w:space="0" w:color="auto"/>
            </w:tcBorders>
            <w:tcMar>
              <w:top w:w="0" w:type="dxa"/>
              <w:left w:w="28" w:type="dxa"/>
              <w:bottom w:w="0" w:type="dxa"/>
              <w:right w:w="28" w:type="dxa"/>
            </w:tcMar>
            <w:vAlign w:val="bottom"/>
          </w:tcPr>
          <w:p w:rsidR="00FB0052" w:rsidRPr="00B32574" w:rsidRDefault="00FB0052" w:rsidP="001E4AEC">
            <w:pPr>
              <w:spacing w:line="252" w:lineRule="auto"/>
              <w:rPr>
                <w:sz w:val="22"/>
                <w:szCs w:val="22"/>
                <w:lang w:val="en-US" w:eastAsia="en-US"/>
              </w:rPr>
            </w:pPr>
          </w:p>
        </w:tc>
      </w:tr>
    </w:tbl>
    <w:p w:rsidR="00FB0052" w:rsidRPr="00B32574" w:rsidRDefault="00FB0052" w:rsidP="00FB0052">
      <w:pPr>
        <w:rPr>
          <w:sz w:val="22"/>
          <w:szCs w:val="22"/>
          <w:lang w:val="en-US"/>
        </w:rPr>
      </w:pPr>
    </w:p>
    <w:p w:rsidR="00FB0052" w:rsidRPr="00B32574" w:rsidRDefault="00FB0052" w:rsidP="00FB0052">
      <w:pPr>
        <w:rPr>
          <w:sz w:val="22"/>
          <w:szCs w:val="22"/>
        </w:rPr>
      </w:pPr>
    </w:p>
    <w:p w:rsidR="0059029B" w:rsidRPr="00B32574" w:rsidRDefault="0059029B">
      <w:pPr>
        <w:rPr>
          <w:sz w:val="22"/>
          <w:szCs w:val="22"/>
        </w:rPr>
      </w:pPr>
    </w:p>
    <w:sectPr w:rsidR="0059029B" w:rsidRPr="00B32574" w:rsidSect="00B32574">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422CD"/>
    <w:multiLevelType w:val="hybridMultilevel"/>
    <w:tmpl w:val="FF2CF4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052"/>
    <w:rsid w:val="00054921"/>
    <w:rsid w:val="0059029B"/>
    <w:rsid w:val="005E1411"/>
    <w:rsid w:val="0062058F"/>
    <w:rsid w:val="00B32574"/>
    <w:rsid w:val="00D956FD"/>
    <w:rsid w:val="00F40FD3"/>
    <w:rsid w:val="00FB0052"/>
    <w:rsid w:val="00FE0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CA142"/>
  <w15:chartTrackingRefBased/>
  <w15:docId w15:val="{86D7532A-5CF1-4FEA-8D16-C8A40E831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0052"/>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B0052"/>
    <w:rPr>
      <w:color w:val="0000FF"/>
      <w:u w:val="single"/>
    </w:rPr>
  </w:style>
  <w:style w:type="paragraph" w:styleId="a4">
    <w:name w:val="No Spacing"/>
    <w:uiPriority w:val="1"/>
    <w:qFormat/>
    <w:rsid w:val="00FB0052"/>
    <w:pPr>
      <w:spacing w:after="0" w:line="240" w:lineRule="auto"/>
    </w:pPr>
    <w:rPr>
      <w:rFonts w:ascii="Calibri" w:eastAsia="Calibri" w:hAnsi="Calibri" w:cs="Times New Roman"/>
    </w:rPr>
  </w:style>
  <w:style w:type="paragraph" w:customStyle="1" w:styleId="ConsNonformat">
    <w:name w:val="ConsNonformat"/>
    <w:rsid w:val="00FB005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B0052"/>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FB0052"/>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disclosure.ru/portal/company.aspx?id=28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ubanenerg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83C4E-50FE-45B7-9857-5C99C8CBF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602</Words>
  <Characters>3433</Characters>
  <Application>Microsoft Office Word</Application>
  <DocSecurity>0</DocSecurity>
  <Lines>28</Lines>
  <Paragraphs>8</Paragraphs>
  <ScaleCrop>false</ScaleCrop>
  <Company>Home</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5</cp:revision>
  <dcterms:created xsi:type="dcterms:W3CDTF">2019-07-24T22:05:00Z</dcterms:created>
  <dcterms:modified xsi:type="dcterms:W3CDTF">2019-07-24T22:31:00Z</dcterms:modified>
</cp:coreProperties>
</file>