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5A182B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A18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5A182B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A18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5A182B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8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5A182B" w:rsidTr="0051482D">
        <w:tc>
          <w:tcPr>
            <w:tcW w:w="10348" w:type="dxa"/>
            <w:gridSpan w:val="2"/>
          </w:tcPr>
          <w:p w:rsidR="0045226D" w:rsidRPr="005A182B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5A182B" w:rsidTr="0051482D">
        <w:trPr>
          <w:trHeight w:val="599"/>
        </w:trPr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95" w:type="dxa"/>
          </w:tcPr>
          <w:p w:rsidR="0005580F" w:rsidRPr="005A182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5A182B" w:rsidTr="0051482D"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95" w:type="dxa"/>
          </w:tcPr>
          <w:p w:rsidR="0005580F" w:rsidRPr="005A182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5A182B" w:rsidTr="0051482D"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95" w:type="dxa"/>
          </w:tcPr>
          <w:p w:rsidR="0005580F" w:rsidRPr="005A182B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5A182B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5A182B" w:rsidTr="0051482D"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95" w:type="dxa"/>
          </w:tcPr>
          <w:p w:rsidR="0005580F" w:rsidRPr="005A182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5A182B" w:rsidTr="0051482D"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95" w:type="dxa"/>
          </w:tcPr>
          <w:p w:rsidR="0005580F" w:rsidRPr="005A182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5A182B" w:rsidTr="0051482D"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95" w:type="dxa"/>
          </w:tcPr>
          <w:p w:rsidR="0005580F" w:rsidRPr="005A182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5A182B" w:rsidTr="00A26978">
        <w:trPr>
          <w:trHeight w:val="730"/>
        </w:trPr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95" w:type="dxa"/>
          </w:tcPr>
          <w:p w:rsidR="0005580F" w:rsidRPr="005A182B" w:rsidRDefault="003019E6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5A182B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5A182B" w:rsidRDefault="003019E6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5A182B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5A182B" w:rsidTr="0051482D">
        <w:tc>
          <w:tcPr>
            <w:tcW w:w="4253" w:type="dxa"/>
          </w:tcPr>
          <w:p w:rsidR="0005580F" w:rsidRPr="005A182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  <w:bookmarkStart w:id="0" w:name="_GoBack"/>
            <w:bookmarkEnd w:id="0"/>
          </w:p>
        </w:tc>
        <w:tc>
          <w:tcPr>
            <w:tcW w:w="6095" w:type="dxa"/>
          </w:tcPr>
          <w:p w:rsidR="0005580F" w:rsidRPr="005A182B" w:rsidRDefault="005A182B" w:rsidP="00A269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538FF" w:rsidRPr="005A182B">
              <w:rPr>
                <w:rFonts w:ascii="Times New Roman" w:hAnsi="Times New Roman" w:cs="Times New Roman"/>
                <w:sz w:val="24"/>
                <w:szCs w:val="24"/>
              </w:rPr>
              <w:t>.07.2019</w:t>
            </w:r>
          </w:p>
        </w:tc>
      </w:tr>
      <w:tr w:rsidR="0005580F" w:rsidRPr="005A182B" w:rsidTr="0051482D">
        <w:tc>
          <w:tcPr>
            <w:tcW w:w="10348" w:type="dxa"/>
            <w:gridSpan w:val="2"/>
          </w:tcPr>
          <w:p w:rsidR="0005580F" w:rsidRPr="005A182B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5A182B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5A182B" w:rsidTr="0051482D">
        <w:trPr>
          <w:trHeight w:val="2660"/>
        </w:trPr>
        <w:tc>
          <w:tcPr>
            <w:tcW w:w="10348" w:type="dxa"/>
            <w:gridSpan w:val="2"/>
          </w:tcPr>
          <w:p w:rsidR="007E1E11" w:rsidRPr="005A182B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5A182B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5A182B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5A182B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5A182B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5A182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5A182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5A182B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5A18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5A182B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5A182B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182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5A182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182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5A182B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5A182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5A182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182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5A182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182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5A182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5A182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5A182B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5A182B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18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5A182B" w:rsidRDefault="00A26978" w:rsidP="005A757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A18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7E1E11" w:rsidRPr="005A182B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5A182B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5A182B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5A182B" w:rsidTr="0051482D">
        <w:tc>
          <w:tcPr>
            <w:tcW w:w="10348" w:type="dxa"/>
            <w:gridSpan w:val="2"/>
          </w:tcPr>
          <w:p w:rsidR="006538FF" w:rsidRPr="005A182B" w:rsidRDefault="0005580F" w:rsidP="006538F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5A182B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 w:rsidR="00E968BA" w:rsidRPr="005A182B">
              <w:rPr>
                <w:b/>
                <w:color w:val="000000" w:themeColor="text1"/>
                <w:lang w:val="en-US" w:eastAsia="en-US"/>
              </w:rPr>
              <w:t xml:space="preserve"> </w:t>
            </w:r>
          </w:p>
          <w:p w:rsidR="004D0A6C" w:rsidRPr="005A182B" w:rsidRDefault="0005580F" w:rsidP="006538FF">
            <w:pPr>
              <w:jc w:val="center"/>
              <w:rPr>
                <w:b/>
                <w:lang w:val="en-US"/>
              </w:rPr>
            </w:pPr>
            <w:r w:rsidRPr="005A182B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5A182B">
              <w:rPr>
                <w:b/>
                <w:lang w:val="en-US"/>
              </w:rPr>
              <w:t>“</w:t>
            </w:r>
            <w:r w:rsidR="005A182B" w:rsidRPr="005A182B">
              <w:rPr>
                <w:b/>
                <w:lang w:val="en-US" w:eastAsia="en-US"/>
              </w:rPr>
              <w:t>Kubanenergo PJSC expresses its opinion on agenda of a meeting of the Board of Directors of affiliated companies – “Energoservice of Kuban” JSC</w:t>
            </w:r>
            <w:r w:rsidRPr="005A182B">
              <w:rPr>
                <w:b/>
                <w:lang w:val="en-US"/>
              </w:rPr>
              <w:t>”</w:t>
            </w:r>
          </w:p>
        </w:tc>
      </w:tr>
      <w:tr w:rsidR="00471361" w:rsidRPr="005A182B" w:rsidTr="0051482D">
        <w:trPr>
          <w:trHeight w:val="544"/>
        </w:trPr>
        <w:tc>
          <w:tcPr>
            <w:tcW w:w="10348" w:type="dxa"/>
            <w:gridSpan w:val="2"/>
          </w:tcPr>
          <w:p w:rsidR="003054EE" w:rsidRPr="005A182B" w:rsidRDefault="0005580F" w:rsidP="00AF38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F384B" w:rsidRPr="005A182B" w:rsidRDefault="005A182B" w:rsidP="005A18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Representatives of Kubanenergo PJSC in the Board of Directors of “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Energoservice of Kuban” JSC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advised to choose “FOR” when voting on agenda item “Reelection of the Director General of the Company”:</w:t>
            </w:r>
          </w:p>
          <w:p w:rsidR="005A182B" w:rsidRPr="005A182B" w:rsidRDefault="005A182B" w:rsidP="005A18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Appoint Lebedev Vladimir Alexandrovich to the position of 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 General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Compan</w:t>
            </w:r>
            <w:r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for a new term up to 04.07.2020 inclusive.</w:t>
            </w:r>
          </w:p>
        </w:tc>
      </w:tr>
      <w:tr w:rsidR="00741003" w:rsidRPr="005A182B" w:rsidTr="0051482D">
        <w:tc>
          <w:tcPr>
            <w:tcW w:w="10348" w:type="dxa"/>
            <w:gridSpan w:val="2"/>
          </w:tcPr>
          <w:p w:rsidR="00815FFD" w:rsidRPr="005A182B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5A182B" w:rsidRDefault="005A182B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July</w:t>
            </w:r>
            <w:r w:rsidR="0005580F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5A182B" w:rsidRDefault="0005580F" w:rsidP="005A18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</w:t>
            </w:r>
            <w:r w:rsidR="005A182B" w:rsidRPr="005A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Date of preparing and number of minutes of meeting of the Board of Directors which adopted the resolutions</w:t>
            </w:r>
            <w:r w:rsidR="00741003" w:rsidRPr="005A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A182B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6538FF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July</w:t>
            </w:r>
            <w:r w:rsidR="00741003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6538FF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5A182B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41003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5A18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34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1976"/>
        <w:gridCol w:w="2589"/>
      </w:tblGrid>
      <w:tr w:rsidR="0005580F" w:rsidRPr="005A182B" w:rsidTr="0051482D">
        <w:trPr>
          <w:cantSplit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5A182B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5A182B">
              <w:rPr>
                <w:lang w:val="en-US" w:eastAsia="en-US"/>
              </w:rPr>
              <w:t xml:space="preserve">3. Signature </w:t>
            </w:r>
          </w:p>
        </w:tc>
      </w:tr>
      <w:tr w:rsidR="0005580F" w:rsidRPr="005A182B" w:rsidTr="0051482D">
        <w:trPr>
          <w:cantSplit/>
          <w:trHeight w:val="118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A182B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5A182B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5A182B">
              <w:rPr>
                <w:lang w:val="en-US"/>
              </w:rPr>
              <w:t>of 19.12.2018)</w:t>
            </w:r>
          </w:p>
          <w:p w:rsidR="0005580F" w:rsidRPr="005A182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A182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A182B">
              <w:rPr>
                <w:lang w:val="en-US" w:eastAsia="en-US"/>
              </w:rPr>
              <w:t>________________</w:t>
            </w:r>
          </w:p>
          <w:p w:rsidR="0005580F" w:rsidRPr="005A182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A182B"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A182B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5A182B">
              <w:rPr>
                <w:lang w:val="en-US" w:eastAsia="en-US"/>
              </w:rPr>
              <w:t>Didenko Ye.Ye.</w:t>
            </w:r>
          </w:p>
          <w:p w:rsidR="0005580F" w:rsidRPr="005A182B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5A182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5A182B" w:rsidTr="0051482D">
        <w:trPr>
          <w:cantSplit/>
          <w:trHeight w:val="645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A182B" w:rsidRDefault="0005580F" w:rsidP="005A182B">
            <w:pPr>
              <w:spacing w:line="252" w:lineRule="auto"/>
              <w:rPr>
                <w:lang w:val="en-US" w:eastAsia="en-US"/>
              </w:rPr>
            </w:pPr>
            <w:r w:rsidRPr="005A182B">
              <w:rPr>
                <w:lang w:val="en-US" w:eastAsia="en-US"/>
              </w:rPr>
              <w:t xml:space="preserve">3.2 Date: </w:t>
            </w:r>
            <w:r w:rsidR="005A182B" w:rsidRPr="005A182B">
              <w:rPr>
                <w:lang w:val="en-US" w:eastAsia="en-US"/>
              </w:rPr>
              <w:t>8</w:t>
            </w:r>
            <w:r w:rsidR="006538FF" w:rsidRPr="005A182B">
              <w:rPr>
                <w:lang w:val="en-US" w:eastAsia="en-US"/>
              </w:rPr>
              <w:t xml:space="preserve"> July</w:t>
            </w:r>
            <w:r w:rsidRPr="005A182B">
              <w:rPr>
                <w:lang w:val="en-US" w:eastAsia="en-US"/>
              </w:rPr>
              <w:t xml:space="preserve"> 2019</w:t>
            </w:r>
            <w:r w:rsidRPr="005A182B">
              <w:rPr>
                <w:b/>
                <w:bCs/>
                <w:lang w:val="en-US" w:eastAsia="en-US"/>
              </w:rPr>
              <w:t xml:space="preserve"> </w:t>
            </w:r>
            <w:r w:rsidRPr="005A182B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5A182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5A182B">
              <w:rPr>
                <w:lang w:val="en-US" w:eastAsia="en-US"/>
              </w:rPr>
              <w:t xml:space="preserve">seal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5A182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5A182B" w:rsidRDefault="0005580F" w:rsidP="00902817">
      <w:pPr>
        <w:jc w:val="center"/>
      </w:pPr>
    </w:p>
    <w:sectPr w:rsidR="0005580F" w:rsidRPr="005A182B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E6" w:rsidRDefault="003019E6" w:rsidP="00C5099C">
      <w:r>
        <w:separator/>
      </w:r>
    </w:p>
  </w:endnote>
  <w:endnote w:type="continuationSeparator" w:id="0">
    <w:p w:rsidR="003019E6" w:rsidRDefault="003019E6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E6" w:rsidRDefault="003019E6" w:rsidP="00C5099C">
      <w:r>
        <w:separator/>
      </w:r>
    </w:p>
  </w:footnote>
  <w:footnote w:type="continuationSeparator" w:id="0">
    <w:p w:rsidR="003019E6" w:rsidRDefault="003019E6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19E6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2EAE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436D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75D56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182B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38FF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4B5C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2573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15FC"/>
    <w:rsid w:val="00AB56DE"/>
    <w:rsid w:val="00AD3E9C"/>
    <w:rsid w:val="00AE6439"/>
    <w:rsid w:val="00AF0C87"/>
    <w:rsid w:val="00AF384B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364A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1B8E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954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BD6A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521D5-F0D6-48D6-B35B-B65A33CE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44</cp:revision>
  <cp:lastPrinted>2019-02-26T07:31:00Z</cp:lastPrinted>
  <dcterms:created xsi:type="dcterms:W3CDTF">2019-03-07T08:14:00Z</dcterms:created>
  <dcterms:modified xsi:type="dcterms:W3CDTF">2019-07-09T10:10:00Z</dcterms:modified>
</cp:coreProperties>
</file>