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269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2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A26978" w:rsidTr="0051482D">
        <w:tc>
          <w:tcPr>
            <w:tcW w:w="10348" w:type="dxa"/>
            <w:gridSpan w:val="2"/>
          </w:tcPr>
          <w:p w:rsidR="0045226D" w:rsidRPr="00A26978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6538FF" w:rsidTr="0051482D">
        <w:trPr>
          <w:trHeight w:val="599"/>
        </w:trPr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6538FF" w:rsidTr="00A26978">
        <w:trPr>
          <w:trHeight w:val="730"/>
        </w:trPr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A26978" w:rsidRDefault="00EC1954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A2697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26978" w:rsidRDefault="00EC1954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A2697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A26978" w:rsidRDefault="006538FF" w:rsidP="00A269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05580F" w:rsidRPr="00A26978" w:rsidTr="0051482D">
        <w:tc>
          <w:tcPr>
            <w:tcW w:w="10348" w:type="dxa"/>
            <w:gridSpan w:val="2"/>
          </w:tcPr>
          <w:p w:rsidR="0005580F" w:rsidRPr="00A26978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A26978" w:rsidTr="0051482D">
        <w:trPr>
          <w:trHeight w:val="2660"/>
        </w:trPr>
        <w:tc>
          <w:tcPr>
            <w:tcW w:w="10348" w:type="dxa"/>
            <w:gridSpan w:val="2"/>
          </w:tcPr>
          <w:p w:rsidR="007E1E11" w:rsidRPr="00A2697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26978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A26978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A269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A26978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A269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A26978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A26978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A26978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A26978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A26978" w:rsidRDefault="00A26978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E1E11" w:rsidRPr="00A2697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A2697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A757E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A757E" w:rsidRPr="00A26978" w:rsidRDefault="00A26978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A2697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6538FF" w:rsidTr="0051482D">
        <w:tc>
          <w:tcPr>
            <w:tcW w:w="10348" w:type="dxa"/>
            <w:gridSpan w:val="2"/>
          </w:tcPr>
          <w:p w:rsidR="006538FF" w:rsidRDefault="0005580F" w:rsidP="006538F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922573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922573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922573" w:rsidRDefault="0005580F" w:rsidP="006538FF">
            <w:pPr>
              <w:jc w:val="center"/>
              <w:rPr>
                <w:b/>
                <w:lang w:val="en-US"/>
              </w:rPr>
            </w:pPr>
            <w:r w:rsidRPr="00922573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922573">
              <w:rPr>
                <w:b/>
                <w:lang w:val="en-US"/>
              </w:rPr>
              <w:t>“</w:t>
            </w:r>
            <w:r w:rsidR="006538FF" w:rsidRPr="00E409B2">
              <w:rPr>
                <w:b/>
                <w:lang w:val="en-US" w:eastAsia="en-US"/>
              </w:rPr>
              <w:t>Appointment of Deputy Chairperson of the Company’s Board of Directors</w:t>
            </w:r>
            <w:r w:rsidRPr="00922573">
              <w:rPr>
                <w:b/>
                <w:lang w:val="en-US"/>
              </w:rPr>
              <w:t>”</w:t>
            </w:r>
          </w:p>
        </w:tc>
      </w:tr>
      <w:tr w:rsidR="00471361" w:rsidRPr="006538FF" w:rsidTr="0051482D">
        <w:trPr>
          <w:trHeight w:val="544"/>
        </w:trPr>
        <w:tc>
          <w:tcPr>
            <w:tcW w:w="10348" w:type="dxa"/>
            <w:gridSpan w:val="2"/>
          </w:tcPr>
          <w:p w:rsidR="003054EE" w:rsidRDefault="0005580F" w:rsidP="00AF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F384B" w:rsidRPr="00AF384B" w:rsidRDefault="00922573" w:rsidP="006538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Appoint </w:t>
            </w:r>
            <w:r w:rsidR="0065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Sergeyeva Olga Andreyevna, Chief Advisor at Rosseti PJSC,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the position of the </w:t>
            </w:r>
            <w:r w:rsidR="0065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Deputy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Chairperson of the Company’s Board of Directors.  </w:t>
            </w:r>
            <w:r w:rsidR="00AF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87A9B" w:rsidRPr="006538FF" w:rsidTr="0051482D">
        <w:trPr>
          <w:trHeight w:val="544"/>
        </w:trPr>
        <w:tc>
          <w:tcPr>
            <w:tcW w:w="10348" w:type="dxa"/>
            <w:gridSpan w:val="2"/>
          </w:tcPr>
          <w:p w:rsidR="00887A9B" w:rsidRPr="006538FF" w:rsidRDefault="00887A9B" w:rsidP="00887A9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6538FF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887A9B" w:rsidRPr="006538FF" w:rsidRDefault="00887A9B" w:rsidP="005A75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53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Item No. 2 “</w:t>
            </w:r>
            <w:r w:rsidR="006538FF" w:rsidRPr="00653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Company’s adoption of the Common Standard of Brand of Rosseti PJSC and establishment of the Group of Companies Rosseti PJSC</w:t>
            </w:r>
            <w:r w:rsidRPr="00653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887A9B" w:rsidRPr="006538FF" w:rsidTr="00A26978">
        <w:trPr>
          <w:trHeight w:val="690"/>
        </w:trPr>
        <w:tc>
          <w:tcPr>
            <w:tcW w:w="10348" w:type="dxa"/>
            <w:gridSpan w:val="2"/>
          </w:tcPr>
          <w:p w:rsidR="00887A9B" w:rsidRPr="00A26978" w:rsidRDefault="00887A9B" w:rsidP="00887A9B">
            <w:pPr>
              <w:rPr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2.2.2.  Decision adopted by the issuer’s Board of Directors</w:t>
            </w:r>
            <w:r w:rsidRPr="00A26978">
              <w:rPr>
                <w:lang w:val="en-US"/>
              </w:rPr>
              <w:t>:</w:t>
            </w:r>
          </w:p>
          <w:p w:rsidR="00C1364A" w:rsidRDefault="00C1364A" w:rsidP="00C1364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It is advised to </w:t>
            </w:r>
          </w:p>
          <w:p w:rsidR="00AF384B" w:rsidRDefault="00C1364A" w:rsidP="00C1364A">
            <w:pPr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1. Join the </w:t>
            </w:r>
            <w:r w:rsidRPr="00C1364A">
              <w:rPr>
                <w:lang w:val="en-US" w:eastAsia="en-US"/>
              </w:rPr>
              <w:t>Common Standard of Brand of Rosseti PJSC</w:t>
            </w:r>
            <w:r>
              <w:rPr>
                <w:lang w:val="en-US" w:eastAsia="en-US"/>
              </w:rPr>
              <w:t xml:space="preserve"> approved by the resolution of the Board of Directors of Rosseti PJSC (minutes of meeting No.353 of 30.04.2019, item 5), as specified in Annex 1 to the present resolution of the Company’s Board of Directors.</w:t>
            </w:r>
          </w:p>
          <w:p w:rsidR="00C1364A" w:rsidRDefault="00C1364A" w:rsidP="00C1364A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Approve the Regulations on the Company’s Brand Management prepared and approved in accordance with the paragraph 1 (Annex 2).</w:t>
            </w:r>
          </w:p>
          <w:p w:rsidR="00C1364A" w:rsidRDefault="00C1364A" w:rsidP="008E4B5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</w:t>
            </w:r>
            <w:r w:rsidR="008E4B5C">
              <w:rPr>
                <w:lang w:val="en-US" w:eastAsia="en-US"/>
              </w:rPr>
              <w:t xml:space="preserve">Approve the Plan of the Company’s transition to the </w:t>
            </w:r>
            <w:r w:rsidR="008E4B5C" w:rsidRPr="00C1364A">
              <w:rPr>
                <w:lang w:val="en-US" w:eastAsia="en-US"/>
              </w:rPr>
              <w:t>Common Standard of Brand of Rosseti PJSC</w:t>
            </w:r>
            <w:r w:rsidR="008E4B5C" w:rsidRPr="006538FF">
              <w:rPr>
                <w:b/>
                <w:lang w:val="en-US" w:eastAsia="en-US"/>
              </w:rPr>
              <w:t xml:space="preserve"> </w:t>
            </w:r>
            <w:r w:rsidR="008E4B5C" w:rsidRPr="00AE6439">
              <w:rPr>
                <w:lang w:val="en-US" w:eastAsia="en-US"/>
              </w:rPr>
              <w:t>and</w:t>
            </w:r>
            <w:r w:rsidR="008E4B5C" w:rsidRPr="006538FF">
              <w:rPr>
                <w:b/>
                <w:lang w:val="en-US" w:eastAsia="en-US"/>
              </w:rPr>
              <w:t xml:space="preserve"> </w:t>
            </w:r>
            <w:r w:rsidR="008E4B5C" w:rsidRPr="008E4B5C">
              <w:rPr>
                <w:lang w:val="en-US" w:eastAsia="en-US"/>
              </w:rPr>
              <w:t>establishment of the Group of Companies Rosseti PJSC</w:t>
            </w:r>
            <w:r w:rsidR="008E4B5C">
              <w:rPr>
                <w:lang w:val="en-US" w:eastAsia="en-US"/>
              </w:rPr>
              <w:t xml:space="preserve"> </w:t>
            </w:r>
            <w:r w:rsidR="008E4B5C">
              <w:rPr>
                <w:lang w:val="en-US" w:eastAsia="en-US"/>
              </w:rPr>
              <w:t xml:space="preserve">(Annex </w:t>
            </w:r>
            <w:r w:rsidR="008E4B5C">
              <w:rPr>
                <w:lang w:val="en-US" w:eastAsia="en-US"/>
              </w:rPr>
              <w:t>3</w:t>
            </w:r>
            <w:r w:rsidR="008E4B5C">
              <w:rPr>
                <w:lang w:val="en-US" w:eastAsia="en-US"/>
              </w:rPr>
              <w:t>).</w:t>
            </w:r>
          </w:p>
          <w:p w:rsidR="008E4B5C" w:rsidRPr="00C1364A" w:rsidRDefault="008E4B5C" w:rsidP="00AE6439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 xml:space="preserve">4. </w:t>
            </w:r>
            <w:r w:rsidR="00475D56">
              <w:rPr>
                <w:lang w:val="en-US" w:eastAsia="en-US"/>
              </w:rPr>
              <w:t>Decide</w:t>
            </w:r>
            <w:r w:rsidR="00475D56" w:rsidRPr="00475D56">
              <w:rPr>
                <w:lang w:val="en-US" w:eastAsia="en-US"/>
              </w:rPr>
              <w:t xml:space="preserve"> that the decision of the Board of Directors </w:t>
            </w:r>
            <w:r w:rsidR="00475D56">
              <w:rPr>
                <w:lang w:val="en-US" w:eastAsia="en-US"/>
              </w:rPr>
              <w:t>of 25.12.2015 in the minutes of meeting</w:t>
            </w:r>
            <w:r w:rsidR="00475D56" w:rsidRPr="00475D56">
              <w:rPr>
                <w:lang w:val="en-US" w:eastAsia="en-US"/>
              </w:rPr>
              <w:t xml:space="preserve"> No.227/2015 is valid only in the part that does not contradict</w:t>
            </w:r>
            <w:r w:rsidR="00475D56">
              <w:rPr>
                <w:lang w:val="en-US" w:eastAsia="en-US"/>
              </w:rPr>
              <w:t xml:space="preserve"> with</w:t>
            </w:r>
            <w:r w:rsidR="00475D56" w:rsidRPr="00475D56">
              <w:rPr>
                <w:lang w:val="en-US" w:eastAsia="en-US"/>
              </w:rPr>
              <w:t xml:space="preserve"> </w:t>
            </w:r>
            <w:r w:rsidR="00475D56">
              <w:rPr>
                <w:lang w:val="en-US" w:eastAsia="en-US"/>
              </w:rPr>
              <w:t>clauses</w:t>
            </w:r>
            <w:r w:rsidR="00475D56" w:rsidRPr="00475D56">
              <w:rPr>
                <w:lang w:val="en-US" w:eastAsia="en-US"/>
              </w:rPr>
              <w:t xml:space="preserve"> 1-3 of this decision of the Board of Directors until the end of the transition period, determined by the </w:t>
            </w:r>
            <w:r w:rsidR="00AE6439">
              <w:rPr>
                <w:lang w:val="en-US" w:eastAsia="en-US"/>
              </w:rPr>
              <w:t xml:space="preserve">bearers of </w:t>
            </w:r>
            <w:r w:rsidR="00475D56" w:rsidRPr="00475D56">
              <w:rPr>
                <w:lang w:val="en-US" w:eastAsia="en-US"/>
              </w:rPr>
              <w:t xml:space="preserve">corporate identity in accordance with the </w:t>
            </w:r>
            <w:r w:rsidR="00AE6439" w:rsidRPr="00C1364A">
              <w:rPr>
                <w:lang w:val="en-US" w:eastAsia="en-US"/>
              </w:rPr>
              <w:t>Common Standard of Brand of R</w:t>
            </w:r>
            <w:bookmarkStart w:id="0" w:name="_GoBack"/>
            <w:bookmarkEnd w:id="0"/>
            <w:r w:rsidR="00AE6439" w:rsidRPr="00C1364A">
              <w:rPr>
                <w:lang w:val="en-US" w:eastAsia="en-US"/>
              </w:rPr>
              <w:t>osseti PJSC</w:t>
            </w:r>
            <w:r w:rsidR="00AE6439">
              <w:rPr>
                <w:lang w:val="en-US" w:eastAsia="en-US"/>
              </w:rPr>
              <w:t xml:space="preserve"> </w:t>
            </w:r>
            <w:r w:rsidR="00475D56" w:rsidRPr="00475D56">
              <w:rPr>
                <w:lang w:val="en-US" w:eastAsia="en-US"/>
              </w:rPr>
              <w:t xml:space="preserve">and organizations of the Rosseti </w:t>
            </w:r>
            <w:r w:rsidR="00AE6439" w:rsidRPr="00475D56">
              <w:rPr>
                <w:lang w:val="en-US" w:eastAsia="en-US"/>
              </w:rPr>
              <w:t xml:space="preserve">Group </w:t>
            </w:r>
            <w:r w:rsidR="00475D56" w:rsidRPr="00475D56">
              <w:rPr>
                <w:lang w:val="en-US" w:eastAsia="en-US"/>
              </w:rPr>
              <w:t xml:space="preserve">of </w:t>
            </w:r>
            <w:r w:rsidR="00AE6439" w:rsidRPr="00475D56">
              <w:rPr>
                <w:lang w:val="en-US" w:eastAsia="en-US"/>
              </w:rPr>
              <w:t xml:space="preserve">Companies </w:t>
            </w:r>
            <w:r w:rsidR="00475D56" w:rsidRPr="00475D56">
              <w:rPr>
                <w:lang w:val="en-US" w:eastAsia="en-US"/>
              </w:rPr>
              <w:t>(</w:t>
            </w:r>
            <w:r w:rsidR="00AE6439">
              <w:rPr>
                <w:lang w:val="en-US" w:eastAsia="en-US"/>
              </w:rPr>
              <w:t xml:space="preserve">Annex </w:t>
            </w:r>
            <w:r w:rsidR="00475D56" w:rsidRPr="00475D56">
              <w:rPr>
                <w:lang w:val="en-US" w:eastAsia="en-US"/>
              </w:rPr>
              <w:t xml:space="preserve">1), the </w:t>
            </w:r>
            <w:r w:rsidR="00AE6439">
              <w:rPr>
                <w:lang w:val="en-US" w:eastAsia="en-US"/>
              </w:rPr>
              <w:t xml:space="preserve">Annex </w:t>
            </w:r>
            <w:r w:rsidR="00475D56" w:rsidRPr="00475D56">
              <w:rPr>
                <w:lang w:val="en-US" w:eastAsia="en-US"/>
              </w:rPr>
              <w:t>(</w:t>
            </w:r>
            <w:r w:rsidR="00AE6439">
              <w:rPr>
                <w:lang w:val="en-US" w:eastAsia="en-US"/>
              </w:rPr>
              <w:t xml:space="preserve">Annex </w:t>
            </w:r>
            <w:r w:rsidR="00475D56" w:rsidRPr="00475D56">
              <w:rPr>
                <w:lang w:val="en-US" w:eastAsia="en-US"/>
              </w:rPr>
              <w:t xml:space="preserve">2) and the </w:t>
            </w:r>
            <w:r w:rsidR="00AE6439">
              <w:rPr>
                <w:lang w:val="en-US" w:eastAsia="en-US"/>
              </w:rPr>
              <w:t xml:space="preserve">Plan of the Company’s transition to the </w:t>
            </w:r>
            <w:r w:rsidR="00AE6439" w:rsidRPr="00C1364A">
              <w:rPr>
                <w:lang w:val="en-US" w:eastAsia="en-US"/>
              </w:rPr>
              <w:t>Common Standard of Brand of Rosseti PJSC</w:t>
            </w:r>
            <w:r w:rsidR="00AE6439" w:rsidRPr="006538FF">
              <w:rPr>
                <w:b/>
                <w:lang w:val="en-US" w:eastAsia="en-US"/>
              </w:rPr>
              <w:t xml:space="preserve"> </w:t>
            </w:r>
            <w:r w:rsidR="00AE6439" w:rsidRPr="00AE6439">
              <w:rPr>
                <w:lang w:val="en-US" w:eastAsia="en-US"/>
              </w:rPr>
              <w:t>and</w:t>
            </w:r>
            <w:r w:rsidR="00AE6439" w:rsidRPr="006538FF">
              <w:rPr>
                <w:b/>
                <w:lang w:val="en-US" w:eastAsia="en-US"/>
              </w:rPr>
              <w:t xml:space="preserve"> </w:t>
            </w:r>
            <w:r w:rsidR="00AE6439" w:rsidRPr="008E4B5C">
              <w:rPr>
                <w:lang w:val="en-US" w:eastAsia="en-US"/>
              </w:rPr>
              <w:t>establishment of the Group of Companies Rosseti PJSC</w:t>
            </w:r>
            <w:r w:rsidR="00AE6439">
              <w:rPr>
                <w:lang w:val="en-US" w:eastAsia="en-US"/>
              </w:rPr>
              <w:t xml:space="preserve"> (Annex 3)</w:t>
            </w:r>
            <w:r w:rsidR="00475D56" w:rsidRPr="00475D56">
              <w:rPr>
                <w:lang w:val="en-US" w:eastAsia="en-US"/>
              </w:rPr>
              <w:t>.</w:t>
            </w:r>
          </w:p>
        </w:tc>
      </w:tr>
      <w:tr w:rsidR="00741003" w:rsidRPr="006538FF" w:rsidTr="0051482D">
        <w:tc>
          <w:tcPr>
            <w:tcW w:w="10348" w:type="dxa"/>
            <w:gridSpan w:val="2"/>
          </w:tcPr>
          <w:p w:rsidR="00815FFD" w:rsidRPr="00A2697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A26978" w:rsidRDefault="0092257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653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5A757E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June</w:t>
            </w:r>
            <w:r w:rsidR="0005580F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A26978" w:rsidRDefault="0005580F" w:rsidP="006538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2.3. Date of holding the meeting of the Board of Directors which adopted the resolutions</w:t>
            </w:r>
            <w:r w:rsidR="00741003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53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July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53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A26978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A26978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lastRenderedPageBreak/>
              <w:t xml:space="preserve">3. Signature </w:t>
            </w:r>
          </w:p>
        </w:tc>
      </w:tr>
      <w:tr w:rsidR="0005580F" w:rsidRPr="00A26978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26978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26978">
              <w:rPr>
                <w:lang w:val="en-US"/>
              </w:rPr>
              <w:t>of 19.12.2018)</w:t>
            </w: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________________</w:t>
            </w:r>
          </w:p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Didenko Ye.Ye.</w:t>
            </w: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A26978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6538FF">
            <w:pPr>
              <w:spacing w:line="252" w:lineRule="auto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3.2 Date: </w:t>
            </w:r>
            <w:r w:rsidR="006538FF">
              <w:rPr>
                <w:lang w:val="en-US" w:eastAsia="en-US"/>
              </w:rPr>
              <w:t>2 July</w:t>
            </w:r>
            <w:r w:rsidRPr="00A26978">
              <w:rPr>
                <w:lang w:val="en-US" w:eastAsia="en-US"/>
              </w:rPr>
              <w:t xml:space="preserve"> 2019</w:t>
            </w:r>
            <w:r w:rsidRPr="00A26978">
              <w:rPr>
                <w:b/>
                <w:bCs/>
                <w:lang w:val="en-US" w:eastAsia="en-US"/>
              </w:rPr>
              <w:t xml:space="preserve"> </w:t>
            </w:r>
            <w:r w:rsidRPr="00A26978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A26978" w:rsidRDefault="0005580F" w:rsidP="00902817">
      <w:pPr>
        <w:jc w:val="center"/>
      </w:pPr>
    </w:p>
    <w:sectPr w:rsidR="0005580F" w:rsidRPr="00A26978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54" w:rsidRDefault="00EC1954" w:rsidP="00C5099C">
      <w:r>
        <w:separator/>
      </w:r>
    </w:p>
  </w:endnote>
  <w:endnote w:type="continuationSeparator" w:id="0">
    <w:p w:rsidR="00EC1954" w:rsidRDefault="00EC1954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54" w:rsidRDefault="00EC1954" w:rsidP="00C5099C">
      <w:r>
        <w:separator/>
      </w:r>
    </w:p>
  </w:footnote>
  <w:footnote w:type="continuationSeparator" w:id="0">
    <w:p w:rsidR="00EC1954" w:rsidRDefault="00EC1954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2EAE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75D56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38FF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4B5C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15FC"/>
    <w:rsid w:val="00AB56DE"/>
    <w:rsid w:val="00AD3E9C"/>
    <w:rsid w:val="00AE6439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364A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954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B02C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C903D-AED1-4250-8017-289C78AD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43</cp:revision>
  <cp:lastPrinted>2019-02-26T07:31:00Z</cp:lastPrinted>
  <dcterms:created xsi:type="dcterms:W3CDTF">2019-03-07T08:14:00Z</dcterms:created>
  <dcterms:modified xsi:type="dcterms:W3CDTF">2019-07-02T14:23:00Z</dcterms:modified>
</cp:coreProperties>
</file>