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A26978" w:rsidTr="0051482D">
        <w:tc>
          <w:tcPr>
            <w:tcW w:w="10348" w:type="dxa"/>
            <w:gridSpan w:val="2"/>
          </w:tcPr>
          <w:p w:rsidR="0045226D" w:rsidRPr="00A26978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922573" w:rsidTr="0051482D">
        <w:trPr>
          <w:trHeight w:val="599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922573" w:rsidTr="00A26978">
        <w:trPr>
          <w:trHeight w:val="730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A26978" w:rsidRDefault="00AF0C87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AF0C87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A26978" w:rsidRDefault="00922573" w:rsidP="00A269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757E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</w:t>
            </w:r>
            <w:r w:rsidR="00E968BA" w:rsidRPr="00A269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5580F" w:rsidRPr="00A26978" w:rsidTr="0051482D">
        <w:tc>
          <w:tcPr>
            <w:tcW w:w="10348" w:type="dxa"/>
            <w:gridSpan w:val="2"/>
          </w:tcPr>
          <w:p w:rsidR="0005580F" w:rsidRPr="00A26978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26978" w:rsidTr="0051482D">
        <w:trPr>
          <w:trHeight w:val="2660"/>
        </w:trPr>
        <w:tc>
          <w:tcPr>
            <w:tcW w:w="10348" w:type="dxa"/>
            <w:gridSpan w:val="2"/>
          </w:tcPr>
          <w:p w:rsidR="007E1E11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26978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269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26978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269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26978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2697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26978" w:rsidRDefault="00A26978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A757E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A26978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A2697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922573" w:rsidTr="0051482D">
        <w:tc>
          <w:tcPr>
            <w:tcW w:w="10348" w:type="dxa"/>
            <w:gridSpan w:val="2"/>
          </w:tcPr>
          <w:p w:rsidR="00E968BA" w:rsidRPr="00922573" w:rsidRDefault="0005580F" w:rsidP="00E968B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922573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922573">
              <w:rPr>
                <w:b/>
                <w:color w:val="000000" w:themeColor="text1"/>
                <w:lang w:val="en-US" w:eastAsia="en-US"/>
              </w:rPr>
              <w:t xml:space="preserve"> </w:t>
            </w:r>
            <w:r w:rsidR="00922573" w:rsidRPr="00922573">
              <w:rPr>
                <w:b/>
                <w:color w:val="000000" w:themeColor="text1"/>
                <w:lang w:val="en-US" w:eastAsia="en-US"/>
              </w:rPr>
              <w:t xml:space="preserve">/ Election (reelection) of Chairperson of the Board of Directors (supervisory board) of the issuer </w:t>
            </w:r>
          </w:p>
          <w:p w:rsidR="004D0A6C" w:rsidRPr="00922573" w:rsidRDefault="0005580F" w:rsidP="005A757E">
            <w:pPr>
              <w:jc w:val="both"/>
              <w:rPr>
                <w:b/>
                <w:lang w:val="en-US"/>
              </w:rPr>
            </w:pPr>
            <w:r w:rsidRPr="00922573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922573">
              <w:rPr>
                <w:b/>
                <w:lang w:val="en-US"/>
              </w:rPr>
              <w:t>“</w:t>
            </w:r>
            <w:r w:rsidR="00922573" w:rsidRPr="00922573">
              <w:rPr>
                <w:b/>
                <w:lang w:val="en-US" w:eastAsia="en-US"/>
              </w:rPr>
              <w:t>Election of Chairperson of the Company’s Board of Directors</w:t>
            </w:r>
            <w:r w:rsidRPr="00922573">
              <w:rPr>
                <w:b/>
                <w:lang w:val="en-US"/>
              </w:rPr>
              <w:t>”</w:t>
            </w:r>
          </w:p>
        </w:tc>
      </w:tr>
      <w:tr w:rsidR="00471361" w:rsidRPr="00922573" w:rsidTr="0051482D">
        <w:trPr>
          <w:trHeight w:val="544"/>
        </w:trPr>
        <w:tc>
          <w:tcPr>
            <w:tcW w:w="10348" w:type="dxa"/>
            <w:gridSpan w:val="2"/>
          </w:tcPr>
          <w:p w:rsidR="003054EE" w:rsidRDefault="0005580F" w:rsidP="00AF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F384B" w:rsidRPr="00AF384B" w:rsidRDefault="00922573" w:rsidP="009225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Appoint Gavrilov Alexander to the position of the Chairperson of the Company’s Board of Directors.  </w:t>
            </w:r>
            <w:r w:rsidR="00AF3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87A9B" w:rsidRPr="00922573" w:rsidTr="0051482D">
        <w:trPr>
          <w:trHeight w:val="544"/>
        </w:trPr>
        <w:tc>
          <w:tcPr>
            <w:tcW w:w="10348" w:type="dxa"/>
            <w:gridSpan w:val="2"/>
          </w:tcPr>
          <w:p w:rsidR="00887A9B" w:rsidRPr="00922573" w:rsidRDefault="00887A9B" w:rsidP="00887A9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922573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87A9B" w:rsidRPr="00922573" w:rsidRDefault="00887A9B" w:rsidP="005A75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22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 2 “</w:t>
            </w:r>
            <w:r w:rsidR="00922573" w:rsidRPr="0092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Arrangement of activity of the Committees under the Company’s Board of Directors</w:t>
            </w:r>
            <w:r w:rsidRPr="00922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887A9B" w:rsidRPr="00922573" w:rsidTr="00A26978">
        <w:trPr>
          <w:trHeight w:val="690"/>
        </w:trPr>
        <w:tc>
          <w:tcPr>
            <w:tcW w:w="10348" w:type="dxa"/>
            <w:gridSpan w:val="2"/>
          </w:tcPr>
          <w:p w:rsidR="00887A9B" w:rsidRPr="00A26978" w:rsidRDefault="00887A9B" w:rsidP="00887A9B">
            <w:pPr>
              <w:rPr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2.2.2.  Decision adopted by the issuer’s Board of Directors</w:t>
            </w:r>
            <w:r w:rsidRPr="00A26978">
              <w:rPr>
                <w:lang w:val="en-US"/>
              </w:rPr>
              <w:t>:</w:t>
            </w:r>
          </w:p>
          <w:p w:rsidR="00AF384B" w:rsidRPr="00A26978" w:rsidRDefault="00922573" w:rsidP="0092257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of the Board of Directors of Kubanenergo PJSC shall submit </w:t>
            </w:r>
            <w:r>
              <w:rPr>
                <w:color w:val="000000" w:themeColor="text1"/>
                <w:lang w:val="en-US" w:eastAsia="en-US"/>
              </w:rPr>
              <w:t xml:space="preserve">within two weeks </w:t>
            </w:r>
            <w:r>
              <w:rPr>
                <w:color w:val="000000" w:themeColor="text1"/>
                <w:lang w:val="en-US" w:eastAsia="en-US"/>
              </w:rPr>
              <w:t xml:space="preserve">their proposals on candidates for election to the Committees under the BoD to the Chairperson of the </w:t>
            </w:r>
            <w:r>
              <w:rPr>
                <w:color w:val="000000" w:themeColor="text1"/>
                <w:lang w:val="en-US" w:eastAsia="en-US"/>
              </w:rPr>
              <w:t>Board of Directors</w:t>
            </w:r>
            <w:r>
              <w:rPr>
                <w:color w:val="000000" w:themeColor="text1"/>
                <w:lang w:val="en-US" w:eastAsia="en-US"/>
              </w:rPr>
              <w:t>, observing the requirements set forth in the Regulations on the Committees.</w:t>
            </w:r>
          </w:p>
        </w:tc>
      </w:tr>
      <w:tr w:rsidR="00741003" w:rsidRPr="00922573" w:rsidTr="0051482D">
        <w:tc>
          <w:tcPr>
            <w:tcW w:w="10348" w:type="dxa"/>
            <w:gridSpan w:val="2"/>
          </w:tcPr>
          <w:p w:rsidR="00815FFD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</w:t>
            </w:r>
            <w:bookmarkStart w:id="0" w:name="_GoBack"/>
            <w:bookmarkEnd w:id="0"/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26978" w:rsidRDefault="0092257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5A757E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June</w:t>
            </w:r>
            <w:r w:rsidR="0005580F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26978" w:rsidRDefault="0005580F" w:rsidP="009225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2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5A757E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June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68B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2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A26978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26978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3. Signature </w:t>
            </w:r>
          </w:p>
        </w:tc>
      </w:tr>
      <w:tr w:rsidR="0005580F" w:rsidRPr="00A26978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26978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26978">
              <w:rPr>
                <w:lang w:val="en-US"/>
              </w:rPr>
              <w:t>of 19.12.2018)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________________</w:t>
            </w:r>
          </w:p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Didenko Ye.Ye.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26978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922573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3.2 Date: </w:t>
            </w:r>
            <w:r w:rsidR="00922573">
              <w:rPr>
                <w:lang w:val="en-US" w:eastAsia="en-US"/>
              </w:rPr>
              <w:t>21</w:t>
            </w:r>
            <w:r w:rsidR="005A757E" w:rsidRPr="00A26978">
              <w:rPr>
                <w:lang w:val="en-US" w:eastAsia="en-US"/>
              </w:rPr>
              <w:t xml:space="preserve"> June</w:t>
            </w:r>
            <w:r w:rsidRPr="00A26978">
              <w:rPr>
                <w:lang w:val="en-US" w:eastAsia="en-US"/>
              </w:rPr>
              <w:t xml:space="preserve"> 2019</w:t>
            </w:r>
            <w:r w:rsidRPr="00A26978">
              <w:rPr>
                <w:b/>
                <w:bCs/>
                <w:lang w:val="en-US" w:eastAsia="en-US"/>
              </w:rPr>
              <w:t xml:space="preserve"> </w:t>
            </w:r>
            <w:r w:rsidRPr="00A26978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26978" w:rsidRDefault="0005580F" w:rsidP="00902817">
      <w:pPr>
        <w:jc w:val="center"/>
      </w:pPr>
    </w:p>
    <w:sectPr w:rsidR="0005580F" w:rsidRPr="00A26978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87" w:rsidRDefault="00AF0C87" w:rsidP="00C5099C">
      <w:r>
        <w:separator/>
      </w:r>
    </w:p>
  </w:endnote>
  <w:endnote w:type="continuationSeparator" w:id="0">
    <w:p w:rsidR="00AF0C87" w:rsidRDefault="00AF0C87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87" w:rsidRDefault="00AF0C87" w:rsidP="00C5099C">
      <w:r>
        <w:separator/>
      </w:r>
    </w:p>
  </w:footnote>
  <w:footnote w:type="continuationSeparator" w:id="0">
    <w:p w:rsidR="00AF0C87" w:rsidRDefault="00AF0C87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A9B7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A5E4-E75F-4734-B9FF-4C715683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40</cp:revision>
  <cp:lastPrinted>2019-02-26T07:31:00Z</cp:lastPrinted>
  <dcterms:created xsi:type="dcterms:W3CDTF">2019-03-07T08:14:00Z</dcterms:created>
  <dcterms:modified xsi:type="dcterms:W3CDTF">2019-06-21T16:25:00Z</dcterms:modified>
</cp:coreProperties>
</file>