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F0D" w:rsidRDefault="00705F0D" w:rsidP="00705F0D">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D32D5C" w:rsidRPr="00D32D5C" w:rsidRDefault="00D32D5C" w:rsidP="00705F0D">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Information on the procedure of the issuer’s securities issue</w:t>
      </w:r>
    </w:p>
    <w:p w:rsidR="00705F0D" w:rsidRDefault="00705F0D" w:rsidP="00705F0D">
      <w:pPr>
        <w:pStyle w:val="ConsNonformat"/>
        <w:jc w:val="center"/>
        <w:rPr>
          <w:rFonts w:ascii="Times New Roman" w:hAnsi="Times New Roman" w:cs="Times New Roman"/>
          <w:b/>
          <w:sz w:val="24"/>
          <w:szCs w:val="24"/>
          <w:lang w:val="en-US"/>
        </w:rPr>
      </w:pPr>
      <w:r w:rsidRPr="00FE304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“Information on a</w:t>
      </w:r>
      <w:r w:rsidRPr="00FE304A">
        <w:rPr>
          <w:rFonts w:ascii="Times New Roman" w:hAnsi="Times New Roman" w:cs="Times New Roman"/>
          <w:b/>
          <w:sz w:val="24"/>
          <w:szCs w:val="24"/>
          <w:lang w:val="en-US"/>
        </w:rPr>
        <w:t xml:space="preserve">pproval of </w:t>
      </w:r>
      <w:r>
        <w:rPr>
          <w:rFonts w:ascii="Times New Roman" w:hAnsi="Times New Roman" w:cs="Times New Roman"/>
          <w:b/>
          <w:sz w:val="24"/>
          <w:szCs w:val="24"/>
          <w:lang w:val="en-US"/>
        </w:rPr>
        <w:t>a decision</w:t>
      </w:r>
      <w:r w:rsidRPr="00FE304A">
        <w:rPr>
          <w:rFonts w:ascii="Times New Roman" w:hAnsi="Times New Roman" w:cs="Times New Roman"/>
          <w:b/>
          <w:sz w:val="24"/>
          <w:szCs w:val="24"/>
          <w:lang w:val="en-US"/>
        </w:rPr>
        <w:t xml:space="preserve"> on issue of securities</w:t>
      </w:r>
      <w:r>
        <w:rPr>
          <w:rFonts w:ascii="Times New Roman" w:hAnsi="Times New Roman" w:cs="Times New Roman"/>
          <w:b/>
          <w:sz w:val="24"/>
          <w:szCs w:val="24"/>
          <w:lang w:val="en-US"/>
        </w:rPr>
        <w:t>”</w:t>
      </w:r>
    </w:p>
    <w:p w:rsidR="00705F0D" w:rsidRPr="00FE304A" w:rsidRDefault="00705F0D" w:rsidP="00705F0D">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705F0D" w:rsidRPr="00FE304A" w:rsidTr="00430522">
        <w:tc>
          <w:tcPr>
            <w:tcW w:w="9810" w:type="dxa"/>
            <w:gridSpan w:val="4"/>
            <w:tcBorders>
              <w:top w:val="single" w:sz="4" w:space="0" w:color="auto"/>
              <w:left w:val="single" w:sz="4" w:space="0" w:color="auto"/>
              <w:bottom w:val="single" w:sz="4" w:space="0" w:color="auto"/>
              <w:right w:val="single" w:sz="4" w:space="0" w:color="auto"/>
            </w:tcBorders>
            <w:hideMark/>
          </w:tcPr>
          <w:p w:rsidR="00705F0D" w:rsidRPr="00FE304A" w:rsidRDefault="00705F0D" w:rsidP="00430522">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705F0D" w:rsidRPr="00D32D5C" w:rsidTr="00430522">
        <w:trPr>
          <w:trHeight w:val="288"/>
        </w:trPr>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spacing w:line="252" w:lineRule="auto"/>
              <w:jc w:val="both"/>
              <w:rPr>
                <w:sz w:val="24"/>
                <w:szCs w:val="24"/>
                <w:lang w:val="en-US" w:eastAsia="en-US"/>
              </w:rPr>
            </w:pPr>
            <w:r w:rsidRPr="00FE304A">
              <w:rPr>
                <w:sz w:val="24"/>
                <w:szCs w:val="24"/>
                <w:lang w:val="en-US" w:eastAsia="en-US"/>
              </w:rPr>
              <w:t>Krasnodar, Russian Federation</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705F0D" w:rsidRPr="00D32D5C"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9E669E" w:rsidP="00430522">
            <w:pPr>
              <w:spacing w:line="252" w:lineRule="auto"/>
              <w:jc w:val="both"/>
              <w:rPr>
                <w:rStyle w:val="a3"/>
                <w:color w:val="auto"/>
                <w:sz w:val="22"/>
                <w:szCs w:val="24"/>
                <w:lang w:val="en-US" w:eastAsia="en-US"/>
              </w:rPr>
            </w:pPr>
            <w:hyperlink r:id="rId5" w:history="1">
              <w:r w:rsidR="00705F0D" w:rsidRPr="00FE304A">
                <w:rPr>
                  <w:rStyle w:val="a3"/>
                  <w:sz w:val="22"/>
                  <w:szCs w:val="24"/>
                  <w:lang w:val="en-US" w:eastAsia="en-US"/>
                </w:rPr>
                <w:t>www.kubanenergo.ru</w:t>
              </w:r>
            </w:hyperlink>
            <w:r w:rsidR="00705F0D" w:rsidRPr="00FE304A">
              <w:rPr>
                <w:sz w:val="22"/>
                <w:szCs w:val="24"/>
                <w:lang w:val="en-US" w:eastAsia="en-US"/>
              </w:rPr>
              <w:t xml:space="preserve"> </w:t>
            </w:r>
          </w:p>
          <w:p w:rsidR="00705F0D" w:rsidRPr="00FE304A" w:rsidRDefault="009E669E" w:rsidP="00430522">
            <w:pPr>
              <w:pStyle w:val="a4"/>
              <w:spacing w:line="252" w:lineRule="auto"/>
              <w:jc w:val="both"/>
              <w:rPr>
                <w:rFonts w:ascii="Times New Roman" w:hAnsi="Times New Roman"/>
                <w:sz w:val="24"/>
                <w:szCs w:val="24"/>
                <w:lang w:val="en-US"/>
              </w:rPr>
            </w:pPr>
            <w:hyperlink r:id="rId6" w:history="1">
              <w:r w:rsidR="00705F0D" w:rsidRPr="00FE304A">
                <w:rPr>
                  <w:rStyle w:val="a3"/>
                  <w:rFonts w:ascii="Times New Roman" w:hAnsi="Times New Roman"/>
                  <w:szCs w:val="24"/>
                  <w:lang w:val="en-US"/>
                </w:rPr>
                <w:t>http://www.e-disclosure.ru/portal/company.aspx?id=2827</w:t>
              </w:r>
            </w:hyperlink>
          </w:p>
        </w:tc>
      </w:tr>
      <w:tr w:rsidR="00705F0D" w:rsidRPr="00FE304A" w:rsidTr="00430522">
        <w:tc>
          <w:tcPr>
            <w:tcW w:w="4423" w:type="dxa"/>
            <w:tcBorders>
              <w:top w:val="single" w:sz="4" w:space="0" w:color="auto"/>
              <w:left w:val="single" w:sz="4" w:space="0" w:color="auto"/>
              <w:bottom w:val="single" w:sz="4" w:space="0" w:color="auto"/>
              <w:right w:val="single" w:sz="4" w:space="0" w:color="auto"/>
            </w:tcBorders>
          </w:tcPr>
          <w:p w:rsidR="00705F0D" w:rsidRPr="00FE304A" w:rsidRDefault="00705F0D" w:rsidP="00430522">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705F0D" w:rsidRPr="00FE304A" w:rsidRDefault="00D32D5C" w:rsidP="00430522">
            <w:pPr>
              <w:pStyle w:val="a4"/>
              <w:spacing w:line="254" w:lineRule="auto"/>
              <w:jc w:val="both"/>
              <w:rPr>
                <w:rFonts w:ascii="Times New Roman" w:hAnsi="Times New Roman"/>
                <w:sz w:val="24"/>
                <w:szCs w:val="24"/>
                <w:lang w:val="en-US"/>
              </w:rPr>
            </w:pPr>
            <w:r>
              <w:rPr>
                <w:rFonts w:ascii="Times New Roman" w:hAnsi="Times New Roman"/>
                <w:sz w:val="24"/>
                <w:szCs w:val="24"/>
                <w:lang w:val="en-US"/>
              </w:rPr>
              <w:t>17.06.2019</w:t>
            </w:r>
          </w:p>
        </w:tc>
      </w:tr>
      <w:tr w:rsidR="00705F0D" w:rsidRPr="00FE304A" w:rsidTr="00430522">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05F0D" w:rsidRPr="00FE304A" w:rsidRDefault="00705F0D" w:rsidP="00430522">
            <w:pPr>
              <w:jc w:val="center"/>
              <w:rPr>
                <w:b/>
                <w:bCs/>
                <w:sz w:val="24"/>
                <w:szCs w:val="24"/>
                <w:lang w:val="en-US" w:eastAsia="en-US"/>
              </w:rPr>
            </w:pPr>
            <w:r w:rsidRPr="00FE304A">
              <w:rPr>
                <w:sz w:val="24"/>
                <w:szCs w:val="24"/>
                <w:lang w:val="en-US" w:eastAsia="en-US"/>
              </w:rPr>
              <w:t>2. Statement content</w:t>
            </w:r>
          </w:p>
        </w:tc>
      </w:tr>
      <w:tr w:rsidR="00705F0D" w:rsidRPr="00D32D5C" w:rsidTr="00430522">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05F0D" w:rsidRPr="00D32D5C" w:rsidRDefault="00705F0D" w:rsidP="009E669E">
            <w:pPr>
              <w:ind w:left="136" w:right="117"/>
              <w:jc w:val="both"/>
              <w:rPr>
                <w:sz w:val="24"/>
                <w:szCs w:val="24"/>
                <w:lang w:val="en-US" w:eastAsia="en-US"/>
              </w:rPr>
            </w:pPr>
            <w:r w:rsidRPr="000E2930">
              <w:rPr>
                <w:b/>
                <w:sz w:val="24"/>
                <w:szCs w:val="24"/>
                <w:lang w:val="en-US" w:eastAsia="en-US"/>
              </w:rPr>
              <w:t>2.1.</w:t>
            </w:r>
            <w:r w:rsidRPr="00D32D5C">
              <w:rPr>
                <w:sz w:val="24"/>
                <w:szCs w:val="24"/>
                <w:lang w:val="en-US" w:eastAsia="en-US"/>
              </w:rPr>
              <w:t xml:space="preserve"> The issuer’s management body that approved the decision on issue of securities and the method of decision-making (type of general meeting should be specified: annual or extraordinary) if the issuer’s management body that approv</w:t>
            </w:r>
            <w:r w:rsidR="00D32D5C">
              <w:rPr>
                <w:sz w:val="24"/>
                <w:szCs w:val="24"/>
                <w:lang w:val="en-US" w:eastAsia="en-US"/>
              </w:rPr>
              <w:t>ed</w:t>
            </w:r>
            <w:r w:rsidRPr="00D32D5C">
              <w:rPr>
                <w:sz w:val="24"/>
                <w:szCs w:val="24"/>
                <w:lang w:val="en-US" w:eastAsia="en-US"/>
              </w:rPr>
              <w:t xml:space="preserve"> the issue of securities is the general meeting of participants (shareholders) of the issuer, as well as the form of voting (joint presence and/or absentee voting): </w:t>
            </w:r>
          </w:p>
          <w:p w:rsidR="00705F0D" w:rsidRPr="00D32D5C" w:rsidRDefault="00D32D5C" w:rsidP="009E669E">
            <w:pPr>
              <w:ind w:left="136" w:right="117"/>
              <w:jc w:val="both"/>
              <w:rPr>
                <w:b/>
                <w:sz w:val="24"/>
                <w:szCs w:val="24"/>
                <w:lang w:val="en-US" w:eastAsia="en-US"/>
              </w:rPr>
            </w:pPr>
            <w:r w:rsidRPr="00D32D5C">
              <w:rPr>
                <w:b/>
                <w:sz w:val="24"/>
                <w:szCs w:val="24"/>
                <w:lang w:val="en-US" w:eastAsia="en-US"/>
              </w:rPr>
              <w:t>Board of Directors of Kubanenergo PJSC, absentee voting</w:t>
            </w:r>
            <w:r w:rsidR="00705F0D" w:rsidRPr="00D32D5C">
              <w:rPr>
                <w:b/>
                <w:sz w:val="24"/>
                <w:szCs w:val="24"/>
                <w:lang w:val="en-US" w:eastAsia="en-US"/>
              </w:rPr>
              <w:t>.</w:t>
            </w:r>
          </w:p>
          <w:p w:rsidR="00705F0D" w:rsidRPr="00D32D5C" w:rsidRDefault="00705F0D" w:rsidP="009E669E">
            <w:pPr>
              <w:ind w:left="136" w:right="117"/>
              <w:jc w:val="both"/>
              <w:rPr>
                <w:sz w:val="24"/>
                <w:szCs w:val="24"/>
                <w:lang w:val="en-US" w:eastAsia="en-US"/>
              </w:rPr>
            </w:pPr>
            <w:r w:rsidRPr="000E2930">
              <w:rPr>
                <w:b/>
                <w:sz w:val="24"/>
                <w:szCs w:val="24"/>
                <w:lang w:val="en-US" w:eastAsia="en-US"/>
              </w:rPr>
              <w:t>2.2.</w:t>
            </w:r>
            <w:r w:rsidRPr="00D32D5C">
              <w:rPr>
                <w:sz w:val="24"/>
                <w:szCs w:val="24"/>
                <w:lang w:val="en-US" w:eastAsia="en-US"/>
              </w:rPr>
              <w:t xml:space="preserve"> Date and place of holding the meeting (session) of the authorized body of the issuer that approv</w:t>
            </w:r>
            <w:r w:rsidR="00D32D5C">
              <w:rPr>
                <w:sz w:val="24"/>
                <w:szCs w:val="24"/>
                <w:lang w:val="en-US" w:eastAsia="en-US"/>
              </w:rPr>
              <w:t>ed</w:t>
            </w:r>
            <w:r w:rsidRPr="00D32D5C">
              <w:rPr>
                <w:sz w:val="24"/>
                <w:szCs w:val="24"/>
                <w:lang w:val="en-US" w:eastAsia="en-US"/>
              </w:rPr>
              <w:t xml:space="preserve"> the issue of securities: </w:t>
            </w:r>
          </w:p>
          <w:p w:rsidR="00705F0D" w:rsidRPr="00D32D5C" w:rsidRDefault="00705F0D" w:rsidP="009E669E">
            <w:pPr>
              <w:ind w:left="136" w:right="117"/>
              <w:jc w:val="both"/>
              <w:rPr>
                <w:b/>
                <w:sz w:val="24"/>
                <w:szCs w:val="24"/>
                <w:lang w:val="en-US" w:eastAsia="en-US"/>
              </w:rPr>
            </w:pPr>
            <w:r w:rsidRPr="00FE304A">
              <w:rPr>
                <w:sz w:val="24"/>
                <w:szCs w:val="24"/>
                <w:lang w:val="en-US" w:eastAsia="en-US"/>
              </w:rPr>
              <w:t>Date of the meeting (deadline for submission of voting ballots</w:t>
            </w:r>
            <w:r w:rsidR="00D32D5C">
              <w:rPr>
                <w:sz w:val="24"/>
                <w:szCs w:val="24"/>
                <w:lang w:val="en-US" w:eastAsia="en-US"/>
              </w:rPr>
              <w:t xml:space="preserve"> by the members of the Board of Directors</w:t>
            </w:r>
            <w:r w:rsidRPr="00FE304A">
              <w:rPr>
                <w:sz w:val="24"/>
                <w:szCs w:val="24"/>
                <w:lang w:val="en-US" w:eastAsia="en-US"/>
              </w:rPr>
              <w:t xml:space="preserve">): </w:t>
            </w:r>
            <w:r w:rsidRPr="00D32D5C">
              <w:rPr>
                <w:b/>
                <w:sz w:val="24"/>
                <w:szCs w:val="24"/>
                <w:lang w:val="en-US" w:eastAsia="en-US"/>
              </w:rPr>
              <w:t>1</w:t>
            </w:r>
            <w:r w:rsidR="00D32D5C">
              <w:rPr>
                <w:b/>
                <w:sz w:val="24"/>
                <w:szCs w:val="24"/>
                <w:lang w:val="en-US" w:eastAsia="en-US"/>
              </w:rPr>
              <w:t>4</w:t>
            </w:r>
            <w:r w:rsidRPr="00D32D5C">
              <w:rPr>
                <w:b/>
                <w:sz w:val="24"/>
                <w:szCs w:val="24"/>
                <w:lang w:val="en-US" w:eastAsia="en-US"/>
              </w:rPr>
              <w:t xml:space="preserve"> </w:t>
            </w:r>
            <w:r w:rsidR="00D32D5C" w:rsidRPr="00D32D5C">
              <w:rPr>
                <w:b/>
                <w:sz w:val="24"/>
                <w:szCs w:val="24"/>
                <w:lang w:val="en-US" w:eastAsia="en-US"/>
              </w:rPr>
              <w:t xml:space="preserve">June </w:t>
            </w:r>
            <w:r w:rsidRPr="00D32D5C">
              <w:rPr>
                <w:b/>
                <w:sz w:val="24"/>
                <w:szCs w:val="24"/>
                <w:lang w:val="en-US" w:eastAsia="en-US"/>
              </w:rPr>
              <w:t>2019</w:t>
            </w:r>
            <w:r w:rsidR="00D32D5C">
              <w:rPr>
                <w:b/>
                <w:sz w:val="24"/>
                <w:szCs w:val="24"/>
                <w:lang w:val="en-US" w:eastAsia="en-US"/>
              </w:rPr>
              <w:t>, place of the meeting (address for sending the filled-in voting ballots): 105</w:t>
            </w:r>
            <w:r w:rsidR="000E2930" w:rsidRPr="000E2930">
              <w:rPr>
                <w:b/>
                <w:sz w:val="24"/>
                <w:szCs w:val="24"/>
                <w:vertAlign w:val="superscript"/>
                <w:lang w:val="en-US" w:eastAsia="en-US"/>
              </w:rPr>
              <w:t>th</w:t>
            </w:r>
            <w:r w:rsidR="000E2930">
              <w:rPr>
                <w:b/>
                <w:sz w:val="24"/>
                <w:szCs w:val="24"/>
                <w:lang w:val="en-US" w:eastAsia="en-US"/>
              </w:rPr>
              <w:t xml:space="preserve"> </w:t>
            </w:r>
            <w:r w:rsidR="00D32D5C">
              <w:rPr>
                <w:b/>
                <w:sz w:val="24"/>
                <w:szCs w:val="24"/>
                <w:lang w:val="en-US" w:eastAsia="en-US"/>
              </w:rPr>
              <w:t>office, 2A Stavropolskaya str., Krasnodar</w:t>
            </w:r>
          </w:p>
          <w:p w:rsidR="00705F0D" w:rsidRPr="00D32D5C" w:rsidRDefault="00705F0D" w:rsidP="009E669E">
            <w:pPr>
              <w:ind w:left="136" w:right="117"/>
              <w:jc w:val="both"/>
              <w:rPr>
                <w:sz w:val="24"/>
                <w:szCs w:val="24"/>
                <w:lang w:val="en-US" w:eastAsia="en-US"/>
              </w:rPr>
            </w:pPr>
            <w:r w:rsidRPr="000E2930">
              <w:rPr>
                <w:b/>
                <w:sz w:val="24"/>
                <w:szCs w:val="24"/>
                <w:lang w:val="en-US" w:eastAsia="en-US"/>
              </w:rPr>
              <w:t>2.3.</w:t>
            </w:r>
            <w:r w:rsidRPr="00D32D5C">
              <w:rPr>
                <w:sz w:val="24"/>
                <w:szCs w:val="24"/>
                <w:lang w:val="en-US" w:eastAsia="en-US"/>
              </w:rPr>
              <w:t xml:space="preserve"> </w:t>
            </w:r>
            <w:r w:rsidRPr="00D32D5C">
              <w:rPr>
                <w:sz w:val="24"/>
                <w:szCs w:val="24"/>
                <w:lang w:val="en-US"/>
              </w:rPr>
              <w:t xml:space="preserve">Date of preparing and number of </w:t>
            </w:r>
            <w:r w:rsidR="00D32D5C">
              <w:rPr>
                <w:sz w:val="24"/>
                <w:szCs w:val="24"/>
                <w:lang w:val="en-US"/>
              </w:rPr>
              <w:t>minutes</w:t>
            </w:r>
            <w:r w:rsidRPr="00D32D5C">
              <w:rPr>
                <w:sz w:val="24"/>
                <w:szCs w:val="24"/>
                <w:lang w:val="en-US"/>
              </w:rPr>
              <w:t xml:space="preserve"> of meeting of </w:t>
            </w:r>
            <w:r w:rsidRPr="00D32D5C">
              <w:rPr>
                <w:sz w:val="24"/>
                <w:szCs w:val="24"/>
                <w:lang w:val="en-US" w:eastAsia="en-US"/>
              </w:rPr>
              <w:t>the authorized body of the issuer that approv</w:t>
            </w:r>
            <w:r w:rsidR="00D32D5C">
              <w:rPr>
                <w:sz w:val="24"/>
                <w:szCs w:val="24"/>
                <w:lang w:val="en-US" w:eastAsia="en-US"/>
              </w:rPr>
              <w:t>ed</w:t>
            </w:r>
            <w:r w:rsidRPr="00D32D5C">
              <w:rPr>
                <w:sz w:val="24"/>
                <w:szCs w:val="24"/>
                <w:lang w:val="en-US" w:eastAsia="en-US"/>
              </w:rPr>
              <w:t xml:space="preserve"> the issue of securities: </w:t>
            </w:r>
            <w:bookmarkStart w:id="0" w:name="_GoBack"/>
            <w:bookmarkEnd w:id="0"/>
          </w:p>
          <w:p w:rsidR="00705F0D" w:rsidRPr="00D32D5C" w:rsidRDefault="00705F0D" w:rsidP="009E669E">
            <w:pPr>
              <w:ind w:left="136" w:right="117"/>
              <w:jc w:val="both"/>
              <w:rPr>
                <w:b/>
                <w:sz w:val="24"/>
                <w:szCs w:val="24"/>
                <w:lang w:val="en-US" w:eastAsia="en-US"/>
              </w:rPr>
            </w:pPr>
            <w:r w:rsidRPr="00D32D5C">
              <w:rPr>
                <w:b/>
                <w:sz w:val="24"/>
                <w:szCs w:val="24"/>
                <w:lang w:val="en-US" w:eastAsia="en-US"/>
              </w:rPr>
              <w:t>Minutes of the meeting No.</w:t>
            </w:r>
            <w:r w:rsidR="00D32D5C" w:rsidRPr="00D32D5C">
              <w:rPr>
                <w:b/>
                <w:sz w:val="24"/>
                <w:szCs w:val="24"/>
                <w:lang w:val="en-US" w:eastAsia="en-US"/>
              </w:rPr>
              <w:t>347/2019</w:t>
            </w:r>
            <w:r w:rsidRPr="00D32D5C">
              <w:rPr>
                <w:b/>
                <w:sz w:val="24"/>
                <w:szCs w:val="24"/>
                <w:lang w:val="en-US" w:eastAsia="en-US"/>
              </w:rPr>
              <w:t xml:space="preserve"> of </w:t>
            </w:r>
            <w:r w:rsidR="00D32D5C" w:rsidRPr="00D32D5C">
              <w:rPr>
                <w:b/>
                <w:sz w:val="24"/>
                <w:szCs w:val="24"/>
                <w:lang w:val="en-US" w:eastAsia="en-US"/>
              </w:rPr>
              <w:t>17 June</w:t>
            </w:r>
            <w:r w:rsidRPr="00D32D5C">
              <w:rPr>
                <w:b/>
                <w:sz w:val="24"/>
                <w:szCs w:val="24"/>
                <w:lang w:val="en-US" w:eastAsia="en-US"/>
              </w:rPr>
              <w:t xml:space="preserve"> 2019</w:t>
            </w:r>
          </w:p>
          <w:p w:rsidR="00705F0D" w:rsidRPr="00D32D5C" w:rsidRDefault="00705F0D" w:rsidP="009E669E">
            <w:pPr>
              <w:ind w:left="136" w:right="117"/>
              <w:jc w:val="both"/>
              <w:rPr>
                <w:sz w:val="24"/>
                <w:szCs w:val="24"/>
                <w:lang w:val="en-US" w:eastAsia="en-US"/>
              </w:rPr>
            </w:pPr>
            <w:r w:rsidRPr="000E2930">
              <w:rPr>
                <w:b/>
                <w:sz w:val="24"/>
                <w:szCs w:val="24"/>
                <w:lang w:val="en-US" w:eastAsia="en-US"/>
              </w:rPr>
              <w:t>2.4.</w:t>
            </w:r>
            <w:r w:rsidRPr="00D32D5C">
              <w:rPr>
                <w:sz w:val="24"/>
                <w:szCs w:val="24"/>
                <w:lang w:val="en-US" w:eastAsia="en-US"/>
              </w:rPr>
              <w:t xml:space="preserve"> Quorum and results of voting on proposal to approve the issue of securities:</w:t>
            </w:r>
          </w:p>
          <w:p w:rsidR="00705F0D" w:rsidRPr="000E2930" w:rsidRDefault="000E2930" w:rsidP="009E669E">
            <w:pPr>
              <w:tabs>
                <w:tab w:val="left" w:pos="284"/>
              </w:tabs>
              <w:ind w:left="136" w:right="117"/>
              <w:jc w:val="both"/>
              <w:rPr>
                <w:b/>
                <w:sz w:val="24"/>
                <w:szCs w:val="24"/>
                <w:lang w:val="en-US"/>
              </w:rPr>
            </w:pPr>
            <w:r w:rsidRPr="000E2930">
              <w:rPr>
                <w:b/>
                <w:sz w:val="24"/>
                <w:szCs w:val="24"/>
                <w:lang w:val="en-US"/>
              </w:rPr>
              <w:t>11 out 11 members of the Company’s Board of Directors attended the meeting.</w:t>
            </w:r>
          </w:p>
          <w:p w:rsidR="000E2930" w:rsidRPr="000E2930" w:rsidRDefault="000E2930" w:rsidP="009E669E">
            <w:pPr>
              <w:tabs>
                <w:tab w:val="left" w:pos="284"/>
              </w:tabs>
              <w:ind w:left="136" w:right="117"/>
              <w:jc w:val="both"/>
              <w:rPr>
                <w:b/>
                <w:sz w:val="24"/>
                <w:szCs w:val="24"/>
                <w:lang w:val="en-US"/>
              </w:rPr>
            </w:pPr>
            <w:r w:rsidRPr="000E2930">
              <w:rPr>
                <w:b/>
                <w:sz w:val="24"/>
                <w:szCs w:val="24"/>
                <w:lang w:val="en-US"/>
              </w:rPr>
              <w:t>The quorum was present.</w:t>
            </w:r>
          </w:p>
          <w:p w:rsidR="00705F0D" w:rsidRPr="000E2930" w:rsidRDefault="000E2930" w:rsidP="009E669E">
            <w:pPr>
              <w:tabs>
                <w:tab w:val="left" w:pos="284"/>
              </w:tabs>
              <w:ind w:left="136" w:right="117"/>
              <w:jc w:val="both"/>
              <w:rPr>
                <w:b/>
                <w:sz w:val="24"/>
                <w:szCs w:val="24"/>
                <w:lang w:val="en-US"/>
              </w:rPr>
            </w:pPr>
            <w:r w:rsidRPr="000E2930">
              <w:rPr>
                <w:b/>
                <w:sz w:val="24"/>
                <w:szCs w:val="24"/>
                <w:lang w:val="en-US"/>
              </w:rPr>
              <w:t>Voting results</w:t>
            </w:r>
            <w:r w:rsidR="00705F0D" w:rsidRPr="000E2930">
              <w:rPr>
                <w:b/>
                <w:sz w:val="24"/>
                <w:szCs w:val="24"/>
                <w:lang w:val="en-US"/>
              </w:rPr>
              <w:t>:</w:t>
            </w:r>
          </w:p>
          <w:p w:rsidR="000E2930" w:rsidRPr="000E2930" w:rsidRDefault="00705F0D" w:rsidP="009E669E">
            <w:pPr>
              <w:tabs>
                <w:tab w:val="left" w:pos="284"/>
              </w:tabs>
              <w:ind w:left="136" w:right="117"/>
              <w:jc w:val="both"/>
              <w:rPr>
                <w:b/>
                <w:sz w:val="24"/>
                <w:szCs w:val="24"/>
                <w:lang w:val="en-US"/>
              </w:rPr>
            </w:pPr>
            <w:r w:rsidRPr="000E2930">
              <w:rPr>
                <w:b/>
                <w:sz w:val="24"/>
                <w:szCs w:val="24"/>
                <w:lang w:val="en-US"/>
              </w:rPr>
              <w:t xml:space="preserve">“FOR”: </w:t>
            </w:r>
            <w:r w:rsidR="000E2930" w:rsidRPr="000E2930">
              <w:rPr>
                <w:b/>
                <w:sz w:val="24"/>
                <w:szCs w:val="24"/>
                <w:lang w:val="en-US"/>
              </w:rPr>
              <w:t>11</w:t>
            </w:r>
            <w:r w:rsidRPr="000E2930">
              <w:rPr>
                <w:b/>
                <w:sz w:val="24"/>
                <w:szCs w:val="24"/>
                <w:lang w:val="en-US"/>
              </w:rPr>
              <w:t xml:space="preserve"> votes </w:t>
            </w:r>
          </w:p>
          <w:p w:rsidR="00705F0D" w:rsidRPr="000E2930" w:rsidRDefault="00705F0D" w:rsidP="009E669E">
            <w:pPr>
              <w:tabs>
                <w:tab w:val="left" w:pos="284"/>
              </w:tabs>
              <w:ind w:left="136" w:right="117"/>
              <w:jc w:val="both"/>
              <w:rPr>
                <w:b/>
                <w:sz w:val="24"/>
                <w:szCs w:val="24"/>
                <w:lang w:val="en-US"/>
              </w:rPr>
            </w:pPr>
            <w:r w:rsidRPr="000E2930">
              <w:rPr>
                <w:b/>
                <w:sz w:val="24"/>
                <w:szCs w:val="24"/>
                <w:lang w:val="en-US"/>
              </w:rPr>
              <w:t xml:space="preserve">“AGAINST”: </w:t>
            </w:r>
            <w:r w:rsidR="000E2930" w:rsidRPr="000E2930">
              <w:rPr>
                <w:b/>
                <w:sz w:val="24"/>
                <w:szCs w:val="24"/>
                <w:lang w:val="en-US"/>
              </w:rPr>
              <w:t>0</w:t>
            </w:r>
          </w:p>
          <w:p w:rsidR="00705F0D" w:rsidRPr="000E2930" w:rsidRDefault="00705F0D" w:rsidP="009E669E">
            <w:pPr>
              <w:tabs>
                <w:tab w:val="left" w:pos="284"/>
              </w:tabs>
              <w:ind w:left="136" w:right="117"/>
              <w:jc w:val="both"/>
              <w:rPr>
                <w:b/>
                <w:sz w:val="24"/>
                <w:szCs w:val="24"/>
                <w:lang w:val="en-US"/>
              </w:rPr>
            </w:pPr>
            <w:r w:rsidRPr="000E2930">
              <w:rPr>
                <w:b/>
                <w:sz w:val="24"/>
                <w:szCs w:val="24"/>
                <w:lang w:val="en-US"/>
              </w:rPr>
              <w:t>“ABSTAINED”:</w:t>
            </w:r>
            <w:r w:rsidR="000E2930" w:rsidRPr="000E2930">
              <w:rPr>
                <w:b/>
                <w:sz w:val="24"/>
                <w:szCs w:val="24"/>
                <w:lang w:val="en-US"/>
              </w:rPr>
              <w:t xml:space="preserve"> 0</w:t>
            </w:r>
          </w:p>
          <w:p w:rsidR="00705F0D" w:rsidRPr="000E2930" w:rsidRDefault="000E2930" w:rsidP="009E669E">
            <w:pPr>
              <w:tabs>
                <w:tab w:val="left" w:pos="284"/>
              </w:tabs>
              <w:ind w:left="136" w:right="117"/>
              <w:jc w:val="both"/>
              <w:rPr>
                <w:b/>
                <w:sz w:val="24"/>
                <w:szCs w:val="24"/>
                <w:lang w:val="en-US"/>
              </w:rPr>
            </w:pPr>
            <w:r w:rsidRPr="000E2930">
              <w:rPr>
                <w:b/>
                <w:sz w:val="24"/>
                <w:szCs w:val="24"/>
                <w:lang w:val="en-US"/>
              </w:rPr>
              <w:t>The decision was adopted.</w:t>
            </w:r>
          </w:p>
          <w:p w:rsidR="000E2930" w:rsidRPr="000E2930" w:rsidRDefault="00705F0D" w:rsidP="009E669E">
            <w:pPr>
              <w:tabs>
                <w:tab w:val="left" w:pos="284"/>
              </w:tabs>
              <w:ind w:left="136" w:right="117"/>
              <w:jc w:val="both"/>
              <w:rPr>
                <w:sz w:val="24"/>
                <w:szCs w:val="24"/>
                <w:lang w:val="en-US"/>
              </w:rPr>
            </w:pPr>
            <w:r w:rsidRPr="000E2930">
              <w:rPr>
                <w:sz w:val="24"/>
                <w:szCs w:val="24"/>
                <w:lang w:val="en-US"/>
              </w:rPr>
              <w:t xml:space="preserve">2.5. </w:t>
            </w:r>
            <w:r w:rsidR="000E2930" w:rsidRPr="000E2930">
              <w:rPr>
                <w:sz w:val="24"/>
                <w:szCs w:val="24"/>
                <w:lang w:val="en-US"/>
              </w:rPr>
              <w:t xml:space="preserve">Kind, category (type, series and other identification characteristics of the offered securities: </w:t>
            </w:r>
            <w:r w:rsidR="000E2930" w:rsidRPr="000E2930">
              <w:rPr>
                <w:b/>
                <w:sz w:val="24"/>
                <w:szCs w:val="24"/>
                <w:lang w:val="en-US"/>
              </w:rPr>
              <w:t>ordinary registered uncertified shares</w:t>
            </w:r>
            <w:r w:rsidR="000E2930" w:rsidRPr="000E2930">
              <w:rPr>
                <w:sz w:val="24"/>
                <w:szCs w:val="24"/>
                <w:lang w:val="en-US"/>
              </w:rPr>
              <w:t xml:space="preserve">. </w:t>
            </w:r>
          </w:p>
          <w:p w:rsidR="000E2930" w:rsidRDefault="000E2930" w:rsidP="009E669E">
            <w:pPr>
              <w:tabs>
                <w:tab w:val="left" w:pos="284"/>
              </w:tabs>
              <w:ind w:left="136" w:right="117"/>
              <w:jc w:val="both"/>
              <w:rPr>
                <w:b/>
                <w:sz w:val="24"/>
                <w:szCs w:val="24"/>
                <w:lang w:val="en-US"/>
              </w:rPr>
            </w:pPr>
            <w:r>
              <w:rPr>
                <w:b/>
                <w:sz w:val="24"/>
                <w:szCs w:val="24"/>
                <w:lang w:val="en-US"/>
              </w:rPr>
              <w:t xml:space="preserve">2.6. </w:t>
            </w:r>
            <w:r>
              <w:rPr>
                <w:sz w:val="24"/>
                <w:szCs w:val="24"/>
                <w:lang w:val="en-US"/>
              </w:rPr>
              <w:t>Conditions of securities placement defined by the placement resolution:</w:t>
            </w:r>
          </w:p>
          <w:p w:rsidR="00705F0D" w:rsidRPr="000E2930" w:rsidRDefault="000E2930" w:rsidP="009E669E">
            <w:pPr>
              <w:tabs>
                <w:tab w:val="left" w:pos="284"/>
              </w:tabs>
              <w:ind w:left="136" w:right="117"/>
              <w:jc w:val="both"/>
              <w:rPr>
                <w:b/>
                <w:sz w:val="24"/>
                <w:szCs w:val="24"/>
                <w:lang w:val="en-US"/>
              </w:rPr>
            </w:pPr>
            <w:r w:rsidRPr="000E2930">
              <w:rPr>
                <w:b/>
                <w:sz w:val="24"/>
                <w:szCs w:val="24"/>
                <w:lang w:val="en-US"/>
              </w:rPr>
              <w:t>It is decided to</w:t>
            </w:r>
            <w:r w:rsidR="00705F0D" w:rsidRPr="000E2930">
              <w:rPr>
                <w:b/>
                <w:sz w:val="24"/>
                <w:szCs w:val="24"/>
                <w:lang w:val="en-US"/>
              </w:rPr>
              <w:t xml:space="preserve"> increase the authorized capital of Kubanenergo PJSC by offering additional ordinary registered uncertified shares in amount of 37 477 392 (thirty-seven million four hundred seventy-seven thousand three hundred ninety-two) pieces with par value of 100 (one hundred) rubles each for the total sum of 3 747 739 200 (three billion seven hundred forty-seven million seven hundred thirty-nine thousand two hundred) rubles, on the following essential conditions:</w:t>
            </w:r>
          </w:p>
          <w:p w:rsidR="00705F0D" w:rsidRPr="000E2930" w:rsidRDefault="00705F0D" w:rsidP="009E669E">
            <w:pPr>
              <w:tabs>
                <w:tab w:val="left" w:pos="284"/>
              </w:tabs>
              <w:ind w:left="136" w:right="117"/>
              <w:jc w:val="both"/>
              <w:rPr>
                <w:b/>
                <w:sz w:val="24"/>
                <w:szCs w:val="24"/>
                <w:lang w:val="en-US"/>
              </w:rPr>
            </w:pPr>
            <w:r w:rsidRPr="000E2930">
              <w:rPr>
                <w:b/>
                <w:sz w:val="24"/>
                <w:szCs w:val="24"/>
                <w:lang w:val="en-US"/>
              </w:rPr>
              <w:t>placement method: public offering</w:t>
            </w:r>
          </w:p>
          <w:p w:rsidR="00705F0D" w:rsidRPr="000E2930" w:rsidRDefault="00705F0D" w:rsidP="009E669E">
            <w:pPr>
              <w:tabs>
                <w:tab w:val="left" w:pos="284"/>
              </w:tabs>
              <w:ind w:left="136" w:right="117"/>
              <w:jc w:val="both"/>
              <w:rPr>
                <w:b/>
                <w:sz w:val="24"/>
                <w:szCs w:val="24"/>
                <w:lang w:val="en-US"/>
              </w:rPr>
            </w:pPr>
            <w:r w:rsidRPr="000E2930">
              <w:rPr>
                <w:b/>
                <w:sz w:val="24"/>
                <w:szCs w:val="24"/>
                <w:lang w:val="en-US"/>
              </w:rPr>
              <w:lastRenderedPageBreak/>
              <w:t>offering price of one additional ordinary registered uncertified share (including with respect to the persons included on the list of the persons having the preemptive right to acquire placed additional shares): 100 (one hundred) rubles 00 kopecks.</w:t>
            </w:r>
          </w:p>
          <w:p w:rsidR="00705F0D" w:rsidRPr="000E2930" w:rsidRDefault="00705F0D" w:rsidP="009E669E">
            <w:pPr>
              <w:tabs>
                <w:tab w:val="left" w:pos="284"/>
              </w:tabs>
              <w:ind w:left="136" w:right="117"/>
              <w:jc w:val="both"/>
              <w:rPr>
                <w:b/>
                <w:sz w:val="24"/>
                <w:szCs w:val="24"/>
                <w:lang w:val="en-US"/>
              </w:rPr>
            </w:pPr>
            <w:r w:rsidRPr="000E2930">
              <w:rPr>
                <w:b/>
                <w:sz w:val="24"/>
                <w:szCs w:val="24"/>
                <w:lang w:val="en-US"/>
              </w:rPr>
              <w:t>method of payment for additional shares: payment for additional shares is made in cash in Russian rubles by bank transfer</w:t>
            </w:r>
            <w:r w:rsidR="000E2930">
              <w:rPr>
                <w:b/>
                <w:sz w:val="24"/>
                <w:szCs w:val="24"/>
                <w:lang w:val="en-US"/>
              </w:rPr>
              <w:t>.</w:t>
            </w:r>
          </w:p>
          <w:p w:rsidR="00705F0D" w:rsidRPr="00825FA2" w:rsidRDefault="00705F0D" w:rsidP="009E669E">
            <w:pPr>
              <w:pStyle w:val="a6"/>
              <w:widowControl w:val="0"/>
              <w:tabs>
                <w:tab w:val="left" w:pos="0"/>
                <w:tab w:val="left" w:pos="407"/>
              </w:tabs>
              <w:autoSpaceDE w:val="0"/>
              <w:autoSpaceDN w:val="0"/>
              <w:adjustRightInd w:val="0"/>
              <w:spacing w:after="0" w:line="240" w:lineRule="auto"/>
              <w:ind w:left="136" w:right="117"/>
              <w:jc w:val="both"/>
              <w:rPr>
                <w:rFonts w:ascii="Times New Roman" w:hAnsi="Times New Roman" w:cs="Times New Roman"/>
                <w:sz w:val="24"/>
                <w:szCs w:val="24"/>
              </w:rPr>
            </w:pPr>
            <w:r w:rsidRPr="00825FA2">
              <w:rPr>
                <w:rFonts w:ascii="Times New Roman" w:hAnsi="Times New Roman" w:cs="Times New Roman"/>
                <w:b/>
                <w:sz w:val="24"/>
                <w:szCs w:val="24"/>
              </w:rPr>
              <w:t>2.</w:t>
            </w:r>
            <w:r w:rsidR="000E2930" w:rsidRPr="00825FA2">
              <w:rPr>
                <w:rFonts w:ascii="Times New Roman" w:hAnsi="Times New Roman" w:cs="Times New Roman"/>
                <w:b/>
                <w:sz w:val="24"/>
                <w:szCs w:val="24"/>
              </w:rPr>
              <w:t>7</w:t>
            </w:r>
            <w:r w:rsidRPr="00825FA2">
              <w:rPr>
                <w:rFonts w:ascii="Times New Roman" w:hAnsi="Times New Roman" w:cs="Times New Roman"/>
                <w:b/>
                <w:sz w:val="24"/>
                <w:szCs w:val="24"/>
              </w:rPr>
              <w:t>.</w:t>
            </w:r>
            <w:r w:rsidRPr="00825FA2">
              <w:rPr>
                <w:rFonts w:ascii="Times New Roman" w:hAnsi="Times New Roman" w:cs="Times New Roman"/>
                <w:sz w:val="24"/>
                <w:szCs w:val="24"/>
              </w:rPr>
              <w:t xml:space="preserve"> </w:t>
            </w:r>
            <w:r w:rsidR="00825FA2" w:rsidRPr="00825FA2">
              <w:rPr>
                <w:rFonts w:ascii="Times New Roman" w:hAnsi="Times New Roman" w:cs="Times New Roman"/>
                <w:sz w:val="24"/>
                <w:szCs w:val="24"/>
              </w:rPr>
              <w:t xml:space="preserve">Provision of </w:t>
            </w:r>
            <w:r w:rsidRPr="00825FA2">
              <w:rPr>
                <w:rFonts w:ascii="Times New Roman" w:hAnsi="Times New Roman" w:cs="Times New Roman"/>
                <w:sz w:val="24"/>
                <w:szCs w:val="24"/>
              </w:rPr>
              <w:t xml:space="preserve">a preemptive right to purchase the offered securities </w:t>
            </w:r>
            <w:r w:rsidR="00825FA2" w:rsidRPr="00825FA2">
              <w:rPr>
                <w:rFonts w:ascii="Times New Roman" w:hAnsi="Times New Roman" w:cs="Times New Roman"/>
                <w:sz w:val="24"/>
                <w:szCs w:val="24"/>
              </w:rPr>
              <w:t>to the participants (shareholders) of the issuer and (or) other persons (entities)</w:t>
            </w:r>
            <w:r w:rsidRPr="00825FA2">
              <w:rPr>
                <w:rFonts w:ascii="Times New Roman" w:hAnsi="Times New Roman" w:cs="Times New Roman"/>
                <w:sz w:val="24"/>
                <w:szCs w:val="24"/>
              </w:rPr>
              <w:t>:</w:t>
            </w:r>
          </w:p>
          <w:p w:rsidR="00705F0D" w:rsidRDefault="00705F0D" w:rsidP="009E669E">
            <w:pPr>
              <w:pStyle w:val="a6"/>
              <w:widowControl w:val="0"/>
              <w:tabs>
                <w:tab w:val="left" w:pos="0"/>
                <w:tab w:val="left" w:pos="407"/>
              </w:tabs>
              <w:autoSpaceDE w:val="0"/>
              <w:autoSpaceDN w:val="0"/>
              <w:adjustRightInd w:val="0"/>
              <w:spacing w:after="0" w:line="240" w:lineRule="auto"/>
              <w:ind w:left="136" w:right="117"/>
              <w:jc w:val="both"/>
              <w:rPr>
                <w:rFonts w:ascii="Times New Roman" w:hAnsi="Times New Roman" w:cs="Times New Roman"/>
                <w:b/>
                <w:bCs/>
                <w:sz w:val="24"/>
                <w:szCs w:val="24"/>
              </w:rPr>
            </w:pPr>
            <w:r w:rsidRPr="00825FA2">
              <w:rPr>
                <w:rFonts w:ascii="Times New Roman" w:hAnsi="Times New Roman" w:cs="Times New Roman"/>
                <w:b/>
                <w:sz w:val="24"/>
                <w:szCs w:val="24"/>
              </w:rPr>
              <w:t xml:space="preserve">According to article 40 of Federal law “On Joint Stock Companies” issuer’s shareholders have preemptive right to purchase additional shares offered to public by the issuer in the amount proportional to the amount </w:t>
            </w:r>
            <w:r w:rsidR="00825FA2" w:rsidRPr="00825FA2">
              <w:rPr>
                <w:rFonts w:ascii="Times New Roman" w:hAnsi="Times New Roman" w:cs="Times New Roman"/>
                <w:b/>
                <w:sz w:val="24"/>
                <w:szCs w:val="24"/>
              </w:rPr>
              <w:t xml:space="preserve">of ordinary </w:t>
            </w:r>
            <w:r w:rsidRPr="00825FA2">
              <w:rPr>
                <w:rFonts w:ascii="Times New Roman" w:hAnsi="Times New Roman" w:cs="Times New Roman"/>
                <w:b/>
                <w:sz w:val="24"/>
                <w:szCs w:val="24"/>
              </w:rPr>
              <w:t>shares held by the shareholder</w:t>
            </w:r>
            <w:r w:rsidRPr="00825FA2">
              <w:rPr>
                <w:rFonts w:ascii="Times New Roman" w:hAnsi="Times New Roman" w:cs="Times New Roman"/>
                <w:b/>
                <w:bCs/>
                <w:sz w:val="24"/>
                <w:szCs w:val="24"/>
              </w:rPr>
              <w:t xml:space="preserve">. </w:t>
            </w:r>
          </w:p>
          <w:p w:rsidR="00705F0D" w:rsidRPr="00825FA2" w:rsidRDefault="00705F0D" w:rsidP="009E669E">
            <w:pPr>
              <w:adjustRightInd w:val="0"/>
              <w:ind w:left="136" w:right="117"/>
              <w:jc w:val="both"/>
              <w:outlineLvl w:val="3"/>
              <w:rPr>
                <w:b/>
                <w:sz w:val="24"/>
                <w:szCs w:val="24"/>
                <w:lang w:val="en-US"/>
              </w:rPr>
            </w:pPr>
            <w:r w:rsidRPr="00825FA2">
              <w:rPr>
                <w:rFonts w:eastAsiaTheme="minorHAnsi"/>
                <w:b/>
                <w:sz w:val="24"/>
                <w:szCs w:val="24"/>
                <w:lang w:val="en-US" w:eastAsia="en-US"/>
              </w:rPr>
              <w:t xml:space="preserve">Date of making the list of persons entitled to a preemptive right to purchase securities: 24.03.2019 </w:t>
            </w:r>
          </w:p>
          <w:p w:rsidR="00825FA2" w:rsidRPr="009E669E" w:rsidRDefault="00825FA2" w:rsidP="009E669E">
            <w:pPr>
              <w:ind w:left="136" w:right="117"/>
              <w:jc w:val="both"/>
              <w:rPr>
                <w:b/>
                <w:sz w:val="24"/>
                <w:szCs w:val="24"/>
                <w:lang w:val="en-US"/>
              </w:rPr>
            </w:pPr>
            <w:r>
              <w:rPr>
                <w:b/>
                <w:sz w:val="24"/>
                <w:szCs w:val="24"/>
                <w:lang w:val="en-US"/>
              </w:rPr>
              <w:t>2.8.</w:t>
            </w:r>
            <w:r w:rsidR="00BC1416" w:rsidRPr="009E669E">
              <w:rPr>
                <w:lang w:val="en-US"/>
              </w:rPr>
              <w:t xml:space="preserve"> </w:t>
            </w:r>
            <w:r w:rsidR="00BC1416" w:rsidRPr="009E669E">
              <w:rPr>
                <w:sz w:val="24"/>
                <w:szCs w:val="24"/>
                <w:lang w:val="en-US"/>
              </w:rPr>
              <w:t xml:space="preserve">If the securities of the issue (additional issue) are subject to state registration and securities admitted to regulated trading are placed through a public offering with payment in cash or by transfer of securities admitted to regulated trading, </w:t>
            </w:r>
            <w:r w:rsidR="009E669E" w:rsidRPr="009E669E">
              <w:rPr>
                <w:sz w:val="24"/>
                <w:szCs w:val="24"/>
                <w:lang w:val="en-US"/>
              </w:rPr>
              <w:t xml:space="preserve">the issue shall </w:t>
            </w:r>
            <w:r w:rsidR="00BC1416" w:rsidRPr="009E669E">
              <w:rPr>
                <w:sz w:val="24"/>
                <w:szCs w:val="24"/>
                <w:lang w:val="en-US"/>
              </w:rPr>
              <w:t>specify that, upon completion of the placement of such securities, the issuer intends to submit the securities issue (additional issue) report or give the notice of the securities issue (ad</w:t>
            </w:r>
            <w:r w:rsidR="009E669E" w:rsidRPr="009E669E">
              <w:rPr>
                <w:sz w:val="24"/>
                <w:szCs w:val="24"/>
                <w:lang w:val="en-US"/>
              </w:rPr>
              <w:t xml:space="preserve">ditional issue) results to the </w:t>
            </w:r>
            <w:r w:rsidR="00BC1416" w:rsidRPr="009E669E">
              <w:rPr>
                <w:sz w:val="24"/>
                <w:szCs w:val="24"/>
                <w:lang w:val="en-US"/>
              </w:rPr>
              <w:t>registration agency:</w:t>
            </w:r>
            <w:r w:rsidR="009E669E">
              <w:rPr>
                <w:sz w:val="24"/>
                <w:szCs w:val="24"/>
                <w:lang w:val="en-US"/>
              </w:rPr>
              <w:t xml:space="preserve"> </w:t>
            </w:r>
            <w:r w:rsidR="009E669E" w:rsidRPr="009E669E">
              <w:rPr>
                <w:b/>
                <w:sz w:val="24"/>
                <w:szCs w:val="24"/>
                <w:lang w:val="en-US"/>
              </w:rPr>
              <w:t>the document containing the results of securities placement that the issue shall submit to the registering agency upon completion of securities placement, is a notice of the results of the additional issue of securities.</w:t>
            </w:r>
          </w:p>
          <w:p w:rsidR="00705F0D" w:rsidRPr="00825FA2" w:rsidRDefault="00705F0D" w:rsidP="009E669E">
            <w:pPr>
              <w:ind w:left="136" w:right="117"/>
              <w:jc w:val="both"/>
              <w:rPr>
                <w:b/>
                <w:sz w:val="24"/>
                <w:szCs w:val="24"/>
                <w:lang w:val="en-US"/>
              </w:rPr>
            </w:pPr>
            <w:r w:rsidRPr="00FE304A">
              <w:rPr>
                <w:b/>
                <w:sz w:val="24"/>
                <w:szCs w:val="24"/>
                <w:lang w:val="en-US"/>
              </w:rPr>
              <w:t>2.</w:t>
            </w:r>
            <w:r w:rsidR="00825FA2">
              <w:rPr>
                <w:b/>
                <w:sz w:val="24"/>
                <w:szCs w:val="24"/>
                <w:lang w:val="en-US"/>
              </w:rPr>
              <w:t>9</w:t>
            </w:r>
            <w:r w:rsidRPr="00FE304A">
              <w:rPr>
                <w:b/>
                <w:sz w:val="24"/>
                <w:szCs w:val="24"/>
                <w:lang w:val="en-US"/>
              </w:rPr>
              <w:t xml:space="preserve">. </w:t>
            </w:r>
            <w:r w:rsidRPr="00825FA2">
              <w:rPr>
                <w:sz w:val="24"/>
                <w:szCs w:val="24"/>
                <w:lang w:val="en-US"/>
              </w:rPr>
              <w:t xml:space="preserve">Indication of information whether in the course of issue of securities </w:t>
            </w:r>
            <w:r w:rsidR="00825FA2" w:rsidRPr="00825FA2">
              <w:rPr>
                <w:sz w:val="24"/>
                <w:szCs w:val="24"/>
                <w:lang w:val="en-US"/>
              </w:rPr>
              <w:t>the issuer</w:t>
            </w:r>
            <w:r w:rsidRPr="00825FA2">
              <w:rPr>
                <w:sz w:val="24"/>
                <w:szCs w:val="24"/>
                <w:lang w:val="en-US"/>
              </w:rPr>
              <w:t xml:space="preserve"> is supposed to regist</w:t>
            </w:r>
            <w:r w:rsidR="00825FA2" w:rsidRPr="00825FA2">
              <w:rPr>
                <w:sz w:val="24"/>
                <w:szCs w:val="24"/>
                <w:lang w:val="en-US"/>
              </w:rPr>
              <w:t>e</w:t>
            </w:r>
            <w:r w:rsidRPr="00825FA2">
              <w:rPr>
                <w:sz w:val="24"/>
                <w:szCs w:val="24"/>
                <w:lang w:val="en-US"/>
              </w:rPr>
              <w:t>r (submit to exchange) the sericites prospectus:</w:t>
            </w:r>
            <w:r w:rsidR="009E669E">
              <w:rPr>
                <w:sz w:val="24"/>
                <w:szCs w:val="24"/>
                <w:lang w:val="en-US"/>
              </w:rPr>
              <w:t xml:space="preserve"> </w:t>
            </w:r>
            <w:r w:rsidR="009E669E" w:rsidRPr="00825FA2">
              <w:rPr>
                <w:b/>
                <w:sz w:val="24"/>
                <w:szCs w:val="24"/>
                <w:lang w:val="en-US"/>
              </w:rPr>
              <w:t xml:space="preserve">registration </w:t>
            </w:r>
            <w:r w:rsidRPr="00825FA2">
              <w:rPr>
                <w:b/>
                <w:sz w:val="24"/>
                <w:szCs w:val="24"/>
                <w:lang w:val="en-US"/>
              </w:rPr>
              <w:t>of securities prospectus is stipulated in the course of issue of securities.</w:t>
            </w:r>
          </w:p>
        </w:tc>
      </w:tr>
      <w:tr w:rsidR="00705F0D" w:rsidRPr="00FE304A" w:rsidTr="00430522">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05F0D" w:rsidRPr="00FE304A" w:rsidRDefault="00705F0D" w:rsidP="00430522">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705F0D" w:rsidRPr="00FE304A" w:rsidTr="00430522">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705F0D" w:rsidRPr="00FE304A" w:rsidRDefault="00705F0D" w:rsidP="00430522">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705F0D" w:rsidRPr="00FE304A" w:rsidRDefault="00705F0D" w:rsidP="00430522">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705F0D" w:rsidRPr="00FE304A" w:rsidRDefault="00705F0D" w:rsidP="00430522">
            <w:pPr>
              <w:spacing w:line="252" w:lineRule="auto"/>
              <w:jc w:val="center"/>
              <w:rPr>
                <w:sz w:val="24"/>
                <w:szCs w:val="24"/>
                <w:lang w:val="en-US" w:eastAsia="en-US"/>
              </w:rPr>
            </w:pPr>
            <w:r w:rsidRPr="00FE304A">
              <w:rPr>
                <w:sz w:val="24"/>
                <w:szCs w:val="24"/>
                <w:lang w:val="en-US" w:eastAsia="en-US"/>
              </w:rPr>
              <w:t>________________</w:t>
            </w:r>
          </w:p>
          <w:p w:rsidR="00705F0D" w:rsidRPr="00FE304A" w:rsidRDefault="00705F0D" w:rsidP="00430522">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705F0D" w:rsidRPr="00FE304A" w:rsidRDefault="00705F0D" w:rsidP="00430522">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705F0D" w:rsidRPr="00FE304A" w:rsidRDefault="00705F0D" w:rsidP="00430522">
            <w:pPr>
              <w:spacing w:line="252" w:lineRule="auto"/>
              <w:rPr>
                <w:sz w:val="24"/>
                <w:szCs w:val="24"/>
                <w:lang w:val="en-US" w:eastAsia="en-US"/>
              </w:rPr>
            </w:pPr>
          </w:p>
          <w:p w:rsidR="00705F0D" w:rsidRPr="00FE304A" w:rsidRDefault="00705F0D" w:rsidP="00430522">
            <w:pPr>
              <w:spacing w:line="252" w:lineRule="auto"/>
              <w:rPr>
                <w:sz w:val="24"/>
                <w:szCs w:val="24"/>
                <w:lang w:val="en-US" w:eastAsia="en-US"/>
              </w:rPr>
            </w:pPr>
          </w:p>
        </w:tc>
      </w:tr>
      <w:tr w:rsidR="00705F0D" w:rsidRPr="00FE304A" w:rsidTr="00430522">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705F0D" w:rsidRPr="00FE304A" w:rsidRDefault="00705F0D" w:rsidP="009E669E">
            <w:pPr>
              <w:spacing w:line="252" w:lineRule="auto"/>
              <w:rPr>
                <w:sz w:val="24"/>
                <w:szCs w:val="24"/>
                <w:lang w:val="en-US" w:eastAsia="en-US"/>
              </w:rPr>
            </w:pPr>
            <w:r w:rsidRPr="00FE304A">
              <w:rPr>
                <w:sz w:val="24"/>
                <w:szCs w:val="24"/>
                <w:lang w:val="en-US" w:eastAsia="en-US"/>
              </w:rPr>
              <w:t xml:space="preserve">3.2 Date: </w:t>
            </w:r>
            <w:r w:rsidR="009E669E">
              <w:rPr>
                <w:sz w:val="24"/>
                <w:szCs w:val="24"/>
                <w:lang w:val="en-US" w:eastAsia="en-US"/>
              </w:rPr>
              <w:t>18 June</w:t>
            </w:r>
            <w:r w:rsidRPr="00FE304A">
              <w:rPr>
                <w:sz w:val="24"/>
                <w:szCs w:val="24"/>
                <w:lang w:val="en-US" w:eastAsia="en-US"/>
              </w:rPr>
              <w:t xml:space="preserve">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705F0D" w:rsidRPr="00FE304A" w:rsidRDefault="00705F0D" w:rsidP="00430522">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705F0D" w:rsidRPr="00FE304A" w:rsidRDefault="00705F0D" w:rsidP="00430522">
            <w:pPr>
              <w:spacing w:line="252" w:lineRule="auto"/>
              <w:rPr>
                <w:sz w:val="24"/>
                <w:szCs w:val="24"/>
                <w:lang w:val="en-US" w:eastAsia="en-US"/>
              </w:rPr>
            </w:pPr>
          </w:p>
        </w:tc>
      </w:tr>
    </w:tbl>
    <w:p w:rsidR="00705F0D" w:rsidRPr="00FE304A" w:rsidRDefault="00705F0D" w:rsidP="00705F0D">
      <w:pPr>
        <w:rPr>
          <w:sz w:val="24"/>
          <w:szCs w:val="24"/>
        </w:rPr>
      </w:pPr>
    </w:p>
    <w:p w:rsidR="00705F0D" w:rsidRPr="00FE304A" w:rsidRDefault="00705F0D" w:rsidP="00705F0D">
      <w:pPr>
        <w:rPr>
          <w:sz w:val="24"/>
          <w:szCs w:val="24"/>
        </w:rPr>
      </w:pPr>
    </w:p>
    <w:p w:rsidR="00705F0D" w:rsidRPr="00FE304A" w:rsidRDefault="00705F0D" w:rsidP="00705F0D">
      <w:pPr>
        <w:rPr>
          <w:sz w:val="24"/>
          <w:szCs w:val="24"/>
        </w:rPr>
      </w:pPr>
    </w:p>
    <w:p w:rsidR="00705F0D" w:rsidRPr="00FE304A" w:rsidRDefault="00705F0D" w:rsidP="00705F0D">
      <w:pPr>
        <w:rPr>
          <w:sz w:val="24"/>
          <w:szCs w:val="24"/>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23"/>
    <w:rsid w:val="000E2930"/>
    <w:rsid w:val="0059029B"/>
    <w:rsid w:val="0062058F"/>
    <w:rsid w:val="00705F0D"/>
    <w:rsid w:val="00825FA2"/>
    <w:rsid w:val="009E669E"/>
    <w:rsid w:val="00BC1416"/>
    <w:rsid w:val="00C80523"/>
    <w:rsid w:val="00D32D5C"/>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1031"/>
  <w15:chartTrackingRefBased/>
  <w15:docId w15:val="{E4C212FD-DB95-453F-BA11-4602B01A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F0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5F0D"/>
    <w:rPr>
      <w:color w:val="0000FF"/>
      <w:u w:val="single"/>
    </w:rPr>
  </w:style>
  <w:style w:type="paragraph" w:styleId="a4">
    <w:name w:val="No Spacing"/>
    <w:link w:val="a5"/>
    <w:uiPriority w:val="1"/>
    <w:qFormat/>
    <w:rsid w:val="00705F0D"/>
    <w:pPr>
      <w:spacing w:after="0" w:line="240" w:lineRule="auto"/>
    </w:pPr>
    <w:rPr>
      <w:rFonts w:ascii="Calibri" w:eastAsia="Calibri" w:hAnsi="Calibri" w:cs="Times New Roman"/>
    </w:rPr>
  </w:style>
  <w:style w:type="paragraph" w:customStyle="1" w:styleId="ConsNonformat">
    <w:name w:val="ConsNonformat"/>
    <w:rsid w:val="00705F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05F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705F0D"/>
    <w:rPr>
      <w:rFonts w:ascii="Calibri" w:eastAsia="Calibri" w:hAnsi="Calibri" w:cs="Times New Roman"/>
    </w:rPr>
  </w:style>
  <w:style w:type="paragraph" w:styleId="a6">
    <w:name w:val="List Paragraph"/>
    <w:basedOn w:val="a"/>
    <w:uiPriority w:val="34"/>
    <w:qFormat/>
    <w:rsid w:val="00705F0D"/>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2019-04-19T11:32:00Z</dcterms:created>
  <dcterms:modified xsi:type="dcterms:W3CDTF">2019-06-18T12:29:00Z</dcterms:modified>
</cp:coreProperties>
</file>