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51482D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148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51482D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1482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51482D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82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51482D" w:rsidTr="0051482D">
        <w:tc>
          <w:tcPr>
            <w:tcW w:w="10348" w:type="dxa"/>
            <w:gridSpan w:val="2"/>
          </w:tcPr>
          <w:p w:rsidR="0045226D" w:rsidRPr="0051482D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887A9B" w:rsidTr="0051482D">
        <w:trPr>
          <w:trHeight w:val="599"/>
        </w:trPr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95" w:type="dxa"/>
          </w:tcPr>
          <w:p w:rsidR="0005580F" w:rsidRPr="0051482D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51482D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95" w:type="dxa"/>
          </w:tcPr>
          <w:p w:rsidR="0005580F" w:rsidRPr="0051482D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51482D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95" w:type="dxa"/>
          </w:tcPr>
          <w:p w:rsidR="0005580F" w:rsidRPr="0051482D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51482D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51482D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95" w:type="dxa"/>
          </w:tcPr>
          <w:p w:rsidR="0005580F" w:rsidRPr="0051482D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51482D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95" w:type="dxa"/>
          </w:tcPr>
          <w:p w:rsidR="0005580F" w:rsidRPr="0051482D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51482D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5148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95" w:type="dxa"/>
          </w:tcPr>
          <w:p w:rsidR="0005580F" w:rsidRPr="0051482D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887A9B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95" w:type="dxa"/>
          </w:tcPr>
          <w:p w:rsidR="0005580F" w:rsidRPr="0051482D" w:rsidRDefault="0026172E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51482D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51482D" w:rsidRDefault="0026172E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51482D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51482D" w:rsidTr="0051482D">
        <w:tc>
          <w:tcPr>
            <w:tcW w:w="4253" w:type="dxa"/>
          </w:tcPr>
          <w:p w:rsidR="0005580F" w:rsidRPr="0051482D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095" w:type="dxa"/>
          </w:tcPr>
          <w:p w:rsidR="0005580F" w:rsidRPr="0051482D" w:rsidRDefault="00E968BA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</w:tr>
      <w:tr w:rsidR="0005580F" w:rsidRPr="0051482D" w:rsidTr="0051482D">
        <w:tc>
          <w:tcPr>
            <w:tcW w:w="10348" w:type="dxa"/>
            <w:gridSpan w:val="2"/>
          </w:tcPr>
          <w:p w:rsidR="0005580F" w:rsidRPr="0051482D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51482D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51482D" w:rsidTr="0051482D">
        <w:trPr>
          <w:trHeight w:val="2660"/>
        </w:trPr>
        <w:tc>
          <w:tcPr>
            <w:tcW w:w="10348" w:type="dxa"/>
            <w:gridSpan w:val="2"/>
          </w:tcPr>
          <w:p w:rsidR="007E1E11" w:rsidRPr="0051482D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51482D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51482D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51482D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51482D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51482D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514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51482D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5148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51482D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51482D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482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51482D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482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51482D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51482D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51482D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482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51482D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482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51482D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1482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51482D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51482D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48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51482D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48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2E2C8F" w:rsidRPr="005148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51482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51482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51482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887A9B" w:rsidTr="0051482D">
        <w:tc>
          <w:tcPr>
            <w:tcW w:w="10348" w:type="dxa"/>
            <w:gridSpan w:val="2"/>
          </w:tcPr>
          <w:p w:rsidR="00E968BA" w:rsidRPr="00887A9B" w:rsidRDefault="0005580F" w:rsidP="00E968BA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887A9B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="00E968BA" w:rsidRPr="00887A9B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4D0A6C" w:rsidRPr="00887A9B" w:rsidRDefault="0005580F" w:rsidP="00887A9B">
            <w:pPr>
              <w:jc w:val="both"/>
              <w:rPr>
                <w:b/>
                <w:lang w:val="en-US"/>
              </w:rPr>
            </w:pPr>
            <w:r w:rsidRPr="00887A9B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887A9B">
              <w:rPr>
                <w:b/>
                <w:lang w:val="en-US"/>
              </w:rPr>
              <w:t>“</w:t>
            </w:r>
            <w:r w:rsidR="00887A9B" w:rsidRPr="00887A9B">
              <w:rPr>
                <w:b/>
                <w:lang w:val="en-US" w:eastAsia="en-US"/>
              </w:rPr>
              <w:t>Inclusion of candidates to the list of nominees to the Company’s Board of Directors to elected at the AGM</w:t>
            </w:r>
            <w:r w:rsidRPr="00887A9B">
              <w:rPr>
                <w:b/>
                <w:lang w:val="en-US"/>
              </w:rPr>
              <w:t>”</w:t>
            </w:r>
          </w:p>
        </w:tc>
      </w:tr>
      <w:tr w:rsidR="00471361" w:rsidRPr="00887A9B" w:rsidTr="0051482D">
        <w:trPr>
          <w:trHeight w:val="544"/>
        </w:trPr>
        <w:tc>
          <w:tcPr>
            <w:tcW w:w="10348" w:type="dxa"/>
            <w:gridSpan w:val="2"/>
          </w:tcPr>
          <w:p w:rsidR="00471361" w:rsidRPr="00887A9B" w:rsidRDefault="0005580F" w:rsidP="009D3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887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87A9B" w:rsidRPr="00887A9B" w:rsidRDefault="00887A9B" w:rsidP="00887A9B">
            <w:pPr>
              <w:jc w:val="both"/>
              <w:rPr>
                <w:lang w:val="en-US" w:eastAsia="en-US"/>
              </w:rPr>
            </w:pPr>
            <w:r w:rsidRPr="00887A9B">
              <w:rPr>
                <w:lang w:val="en-US" w:eastAsia="en-US"/>
              </w:rPr>
              <w:t xml:space="preserve">In accordance with paragraph 2 </w:t>
            </w:r>
            <w:r>
              <w:rPr>
                <w:lang w:val="en-US" w:eastAsia="en-US"/>
              </w:rPr>
              <w:t>of item</w:t>
            </w:r>
            <w:r w:rsidRPr="00887A9B">
              <w:rPr>
                <w:lang w:val="en-US" w:eastAsia="en-US"/>
              </w:rPr>
              <w:t xml:space="preserve"> 7 of Art</w:t>
            </w:r>
            <w:r>
              <w:rPr>
                <w:lang w:val="en-US" w:eastAsia="en-US"/>
              </w:rPr>
              <w:t>icle</w:t>
            </w:r>
            <w:r w:rsidRPr="00887A9B">
              <w:rPr>
                <w:lang w:val="en-US" w:eastAsia="en-US"/>
              </w:rPr>
              <w:t xml:space="preserve"> 53 of the Federal Law </w:t>
            </w:r>
            <w:r>
              <w:rPr>
                <w:lang w:val="en-US" w:eastAsia="en-US"/>
              </w:rPr>
              <w:t>“</w:t>
            </w:r>
            <w:r w:rsidRPr="00887A9B">
              <w:rPr>
                <w:lang w:val="en-US" w:eastAsia="en-US"/>
              </w:rPr>
              <w:t>On Joint Stock Companies</w:t>
            </w:r>
            <w:r>
              <w:rPr>
                <w:lang w:val="en-US" w:eastAsia="en-US"/>
              </w:rPr>
              <w:t xml:space="preserve">”, it is advised </w:t>
            </w:r>
            <w:r w:rsidRPr="00887A9B">
              <w:rPr>
                <w:lang w:val="en-US" w:eastAsia="en-US"/>
              </w:rPr>
              <w:t>to include</w:t>
            </w:r>
            <w:r w:rsidRPr="00887A9B">
              <w:rPr>
                <w:lang w:val="en-US" w:eastAsia="en-US"/>
              </w:rPr>
              <w:t xml:space="preserve"> </w:t>
            </w:r>
            <w:r w:rsidRPr="00887A9B">
              <w:rPr>
                <w:lang w:val="en-US" w:eastAsia="en-US"/>
              </w:rPr>
              <w:t xml:space="preserve">the following candidates in the list of </w:t>
            </w:r>
            <w:r>
              <w:rPr>
                <w:lang w:val="en-US" w:eastAsia="en-US"/>
              </w:rPr>
              <w:t>nominees</w:t>
            </w:r>
            <w:r w:rsidRPr="00887A9B">
              <w:rPr>
                <w:lang w:val="en-US" w:eastAsia="en-US"/>
              </w:rPr>
              <w:t xml:space="preserve"> for voting </w:t>
            </w:r>
            <w:r>
              <w:rPr>
                <w:lang w:val="en-US" w:eastAsia="en-US"/>
              </w:rPr>
              <w:t>at</w:t>
            </w:r>
            <w:r w:rsidRPr="00887A9B">
              <w:rPr>
                <w:lang w:val="en-US" w:eastAsia="en-US"/>
              </w:rPr>
              <w:t xml:space="preserve"> elections to the Board of Directors of Kubanenergo PJSC at the </w:t>
            </w:r>
            <w:r w:rsidRPr="00887A9B">
              <w:rPr>
                <w:lang w:val="en-US" w:eastAsia="en-US"/>
              </w:rPr>
              <w:t>Annual General Meeting of Shareholders</w:t>
            </w:r>
            <w:r>
              <w:rPr>
                <w:lang w:val="en-US" w:eastAsia="en-US"/>
              </w:rPr>
              <w:t xml:space="preserve"> of </w:t>
            </w:r>
            <w:r w:rsidRPr="00887A9B">
              <w:rPr>
                <w:lang w:val="en-US" w:eastAsia="en-US"/>
              </w:rPr>
              <w:t xml:space="preserve">Kubanenergo </w:t>
            </w:r>
            <w:r>
              <w:rPr>
                <w:lang w:val="en-US" w:eastAsia="en-US"/>
              </w:rPr>
              <w:t>PJSC</w:t>
            </w:r>
            <w:r w:rsidRPr="00887A9B">
              <w:rPr>
                <w:lang w:val="en-US" w:eastAsia="en-US"/>
              </w:rPr>
              <w:t>:</w:t>
            </w:r>
          </w:p>
          <w:p w:rsidR="00887A9B" w:rsidRPr="00887A9B" w:rsidRDefault="00887A9B" w:rsidP="00887A9B">
            <w:pPr>
              <w:jc w:val="both"/>
              <w:rPr>
                <w:lang w:val="en-US" w:eastAsia="en-US"/>
              </w:rPr>
            </w:pPr>
            <w:r w:rsidRPr="00887A9B">
              <w:rPr>
                <w:lang w:val="en-US" w:eastAsia="en-US"/>
              </w:rPr>
              <w:t xml:space="preserve">Sergey </w:t>
            </w:r>
            <w:r>
              <w:rPr>
                <w:lang w:val="en-US" w:eastAsia="en-US"/>
              </w:rPr>
              <w:t xml:space="preserve">Vladimirovich </w:t>
            </w:r>
            <w:r w:rsidRPr="00887A9B">
              <w:rPr>
                <w:lang w:val="en-US" w:eastAsia="en-US"/>
              </w:rPr>
              <w:t>Kiryukhin, Chief Adviser, Rosseti PJSC;</w:t>
            </w:r>
          </w:p>
          <w:p w:rsidR="00887A9B" w:rsidRPr="00887A9B" w:rsidRDefault="00887A9B" w:rsidP="00887A9B">
            <w:pPr>
              <w:jc w:val="both"/>
              <w:rPr>
                <w:lang w:val="en-US" w:eastAsia="en-US"/>
              </w:rPr>
            </w:pPr>
            <w:r w:rsidRPr="00887A9B">
              <w:rPr>
                <w:lang w:val="en-US" w:eastAsia="en-US"/>
              </w:rPr>
              <w:t xml:space="preserve">Irina </w:t>
            </w:r>
            <w:r>
              <w:rPr>
                <w:lang w:val="en-US" w:eastAsia="en-US"/>
              </w:rPr>
              <w:t xml:space="preserve">Alexandrovna </w:t>
            </w:r>
            <w:r w:rsidRPr="00887A9B">
              <w:rPr>
                <w:lang w:val="en-US" w:eastAsia="en-US"/>
              </w:rPr>
              <w:t>Shagina, Director of the Tariff Policy Department</w:t>
            </w:r>
            <w:r>
              <w:rPr>
                <w:lang w:val="en-US" w:eastAsia="en-US"/>
              </w:rPr>
              <w:t>,</w:t>
            </w:r>
            <w:r w:rsidRPr="00887A9B">
              <w:rPr>
                <w:lang w:val="en-US" w:eastAsia="en-US"/>
              </w:rPr>
              <w:t xml:space="preserve"> Rosseti PJSC;</w:t>
            </w:r>
          </w:p>
          <w:p w:rsidR="00B10F87" w:rsidRPr="00887A9B" w:rsidRDefault="00887A9B" w:rsidP="00887A9B">
            <w:pPr>
              <w:jc w:val="both"/>
              <w:rPr>
                <w:lang w:val="en-US" w:eastAsia="en-US"/>
              </w:rPr>
            </w:pPr>
            <w:r w:rsidRPr="00887A9B">
              <w:rPr>
                <w:lang w:val="en-US" w:eastAsia="en-US"/>
              </w:rPr>
              <w:t xml:space="preserve">Vasily </w:t>
            </w:r>
            <w:r>
              <w:rPr>
                <w:lang w:val="en-US" w:eastAsia="en-US"/>
              </w:rPr>
              <w:t xml:space="preserve">Vladimirovich </w:t>
            </w:r>
            <w:r w:rsidRPr="00887A9B">
              <w:rPr>
                <w:lang w:val="en-US" w:eastAsia="en-US"/>
              </w:rPr>
              <w:t>Rozhkov, Head of the Production Planning Directorate of the Operational and Technolo</w:t>
            </w:r>
            <w:r>
              <w:rPr>
                <w:lang w:val="en-US" w:eastAsia="en-US"/>
              </w:rPr>
              <w:t xml:space="preserve">gical Management Department, </w:t>
            </w:r>
            <w:r w:rsidRPr="00887A9B">
              <w:rPr>
                <w:lang w:val="en-US" w:eastAsia="en-US"/>
              </w:rPr>
              <w:t>Rosseti PJSC.</w:t>
            </w:r>
          </w:p>
        </w:tc>
      </w:tr>
      <w:tr w:rsidR="00887A9B" w:rsidRPr="00887A9B" w:rsidTr="0051482D">
        <w:trPr>
          <w:trHeight w:val="544"/>
        </w:trPr>
        <w:tc>
          <w:tcPr>
            <w:tcW w:w="10348" w:type="dxa"/>
            <w:gridSpan w:val="2"/>
          </w:tcPr>
          <w:p w:rsidR="00887A9B" w:rsidRPr="00887A9B" w:rsidRDefault="00887A9B" w:rsidP="00887A9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887A9B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887A9B" w:rsidRPr="00887A9B" w:rsidRDefault="00887A9B" w:rsidP="0027213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87A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Item No.</w:t>
            </w:r>
            <w:r w:rsidRPr="00887A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</w:t>
            </w:r>
            <w:r w:rsidRP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87A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“</w:t>
            </w:r>
            <w:r w:rsid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  <w:r w:rsidR="00272130" w:rsidRP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pproval of the form and text of voting ballots</w:t>
            </w:r>
            <w:r w:rsid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for</w:t>
            </w:r>
            <w:r w:rsidR="00272130" w:rsidRP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the </w:t>
            </w:r>
            <w:r w:rsidR="00272130" w:rsidRP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Annual </w:t>
            </w:r>
            <w:r w:rsidR="00272130" w:rsidRP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General Meeting of Shareholders, as well as the wording of decisions </w:t>
            </w:r>
            <w:r w:rsid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for</w:t>
            </w:r>
            <w:r w:rsidR="00272130" w:rsidRP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the agenda items of the </w:t>
            </w:r>
            <w:r w:rsidR="00272130" w:rsidRP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Annual </w:t>
            </w:r>
            <w:r w:rsidR="00272130" w:rsidRP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General Meeting of Shareholders</w:t>
            </w:r>
            <w:r w:rsid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to be submitted in</w:t>
            </w:r>
            <w:r w:rsidR="00272130" w:rsidRP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electronic form (in the form of electronic documents) to nominee shareholders registered in the share register of the Compan</w:t>
            </w:r>
            <w:r w:rsidR="00272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y</w:t>
            </w:r>
            <w:r w:rsidRPr="00887A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</w:tr>
      <w:tr w:rsidR="00887A9B" w:rsidRPr="00887A9B" w:rsidTr="0051482D">
        <w:trPr>
          <w:trHeight w:val="544"/>
        </w:trPr>
        <w:tc>
          <w:tcPr>
            <w:tcW w:w="10348" w:type="dxa"/>
            <w:gridSpan w:val="2"/>
          </w:tcPr>
          <w:p w:rsidR="00887A9B" w:rsidRDefault="00887A9B" w:rsidP="00887A9B">
            <w:pPr>
              <w:rPr>
                <w:lang w:val="en-US"/>
              </w:rPr>
            </w:pPr>
            <w:r w:rsidRPr="00887A9B">
              <w:rPr>
                <w:color w:val="000000" w:themeColor="text1"/>
                <w:lang w:val="en-US"/>
              </w:rPr>
              <w:t>2.2.</w:t>
            </w:r>
            <w:r w:rsidRPr="00887A9B">
              <w:rPr>
                <w:color w:val="000000" w:themeColor="text1"/>
                <w:lang w:val="en-US"/>
              </w:rPr>
              <w:t>2</w:t>
            </w:r>
            <w:r w:rsidRPr="00887A9B">
              <w:rPr>
                <w:color w:val="000000" w:themeColor="text1"/>
                <w:lang w:val="en-US"/>
              </w:rPr>
              <w:t>.  Decision adopted by the issuer’s Board of Directors</w:t>
            </w:r>
            <w:r w:rsidRPr="00887A9B">
              <w:rPr>
                <w:lang w:val="en-US"/>
              </w:rPr>
              <w:t>:</w:t>
            </w:r>
          </w:p>
          <w:p w:rsidR="00272130" w:rsidRDefault="00272130" w:rsidP="00272130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1. Approve </w:t>
            </w:r>
            <w:r w:rsidRPr="00272130">
              <w:rPr>
                <w:color w:val="000000" w:themeColor="text1"/>
                <w:lang w:val="en-US"/>
              </w:rPr>
              <w:t>the form and text of voting ballots for the Annual General Meeting of Shareholders</w:t>
            </w:r>
            <w:r>
              <w:rPr>
                <w:color w:val="000000" w:themeColor="text1"/>
                <w:lang w:val="en-US"/>
              </w:rPr>
              <w:t>, in accordance with Annexes 1-3 to the present resolution of the Company’s Board of Directors.</w:t>
            </w:r>
          </w:p>
          <w:p w:rsidR="00272130" w:rsidRDefault="00272130" w:rsidP="00272130">
            <w:pPr>
              <w:jc w:val="both"/>
              <w:rPr>
                <w:color w:val="000000" w:themeColor="text1"/>
                <w:lang w:val="en-US" w:eastAsia="en-US"/>
              </w:rPr>
            </w:pPr>
            <w:r w:rsidRPr="00272130">
              <w:rPr>
                <w:color w:val="000000" w:themeColor="text1"/>
                <w:lang w:val="en-US" w:eastAsia="en-US"/>
              </w:rPr>
              <w:t xml:space="preserve">2. Use the wording of the decisions specified in the voting ballots for </w:t>
            </w:r>
            <w:r>
              <w:rPr>
                <w:color w:val="000000" w:themeColor="text1"/>
                <w:lang w:val="en-US" w:eastAsia="en-US"/>
              </w:rPr>
              <w:t>their submission</w:t>
            </w:r>
            <w:r w:rsidRPr="00272130">
              <w:rPr>
                <w:color w:val="000000" w:themeColor="text1"/>
                <w:lang w:val="en-US" w:eastAsia="en-US"/>
              </w:rPr>
              <w:t xml:space="preserve"> in electronic form (in the form of electronic documents) to nominee shareholders registered in the share register.</w:t>
            </w:r>
          </w:p>
          <w:p w:rsidR="00272130" w:rsidRDefault="00272130" w:rsidP="00272130">
            <w:pPr>
              <w:jc w:val="both"/>
              <w:rPr>
                <w:color w:val="000000" w:themeColor="text1"/>
                <w:lang w:val="en-US" w:eastAsia="en-US"/>
              </w:rPr>
            </w:pPr>
          </w:p>
          <w:p w:rsidR="00272130" w:rsidRPr="00887A9B" w:rsidRDefault="00272130" w:rsidP="00272130">
            <w:pPr>
              <w:spacing w:line="252" w:lineRule="auto"/>
              <w:jc w:val="both"/>
              <w:rPr>
                <w:lang w:val="en-US" w:eastAsia="en-US"/>
              </w:rPr>
            </w:pPr>
            <w:r w:rsidRPr="00887A9B">
              <w:rPr>
                <w:lang w:val="en-US" w:eastAsia="en-US"/>
              </w:rPr>
              <w:t>Identification characteristics of securities:</w:t>
            </w:r>
          </w:p>
          <w:p w:rsidR="00272130" w:rsidRPr="00887A9B" w:rsidRDefault="00272130" w:rsidP="00272130">
            <w:pPr>
              <w:spacing w:line="252" w:lineRule="auto"/>
              <w:jc w:val="both"/>
              <w:rPr>
                <w:lang w:val="en-US" w:eastAsia="en-US"/>
              </w:rPr>
            </w:pPr>
            <w:r w:rsidRPr="00887A9B">
              <w:rPr>
                <w:lang w:val="en-US" w:eastAsia="en-US"/>
              </w:rPr>
              <w:t>Type, category (kind): ordinary registered shares</w:t>
            </w:r>
          </w:p>
          <w:p w:rsidR="00272130" w:rsidRPr="00887A9B" w:rsidRDefault="00272130" w:rsidP="00272130">
            <w:pPr>
              <w:spacing w:line="252" w:lineRule="auto"/>
              <w:jc w:val="both"/>
              <w:rPr>
                <w:lang w:val="en-US" w:eastAsia="en-US"/>
              </w:rPr>
            </w:pPr>
            <w:r w:rsidRPr="00887A9B">
              <w:rPr>
                <w:lang w:val="en-US" w:eastAsia="en-US"/>
              </w:rPr>
              <w:t xml:space="preserve">State registration number of the issue (additional issue) of securities and the date of its state registration </w:t>
            </w:r>
            <w:r w:rsidRPr="00887A9B">
              <w:rPr>
                <w:lang w:val="en-US" w:eastAsia="en-US"/>
              </w:rPr>
              <w:lastRenderedPageBreak/>
              <w:t xml:space="preserve">(identification number of the issue (additional issue) of securities and the date of its assignment): </w:t>
            </w:r>
          </w:p>
          <w:p w:rsidR="00272130" w:rsidRPr="00887A9B" w:rsidRDefault="00272130" w:rsidP="00272130">
            <w:pPr>
              <w:spacing w:line="252" w:lineRule="auto"/>
              <w:jc w:val="both"/>
              <w:rPr>
                <w:lang w:val="en-US" w:eastAsia="en-US"/>
              </w:rPr>
            </w:pPr>
            <w:r w:rsidRPr="00887A9B">
              <w:rPr>
                <w:lang w:val="en-US" w:eastAsia="en-US"/>
              </w:rPr>
              <w:t>1-02-00063-A; 08.07.2003</w:t>
            </w:r>
          </w:p>
          <w:p w:rsidR="00272130" w:rsidRPr="00272130" w:rsidRDefault="00272130" w:rsidP="00272130">
            <w:pPr>
              <w:jc w:val="both"/>
              <w:rPr>
                <w:color w:val="000000" w:themeColor="text1"/>
                <w:lang w:val="en-US" w:eastAsia="en-US"/>
              </w:rPr>
            </w:pPr>
            <w:r w:rsidRPr="00887A9B">
              <w:rPr>
                <w:lang w:val="en-US"/>
              </w:rPr>
              <w:t>International security identification number (ISIN) (if any): RU0009046767</w:t>
            </w:r>
          </w:p>
        </w:tc>
      </w:tr>
      <w:tr w:rsidR="00741003" w:rsidRPr="00887A9B" w:rsidTr="0051482D">
        <w:tc>
          <w:tcPr>
            <w:tcW w:w="10348" w:type="dxa"/>
            <w:gridSpan w:val="2"/>
          </w:tcPr>
          <w:p w:rsidR="00815FFD" w:rsidRPr="0051482D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2.3. Date of holding the meeting of the Board of Directors which adopted the resolutions</w:t>
            </w:r>
            <w:r w:rsidR="00741003"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51482D" w:rsidRDefault="00272130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  <w:r w:rsidR="00E96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May</w:t>
            </w:r>
            <w:r w:rsidR="0005580F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51482D" w:rsidRDefault="0005580F" w:rsidP="002721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514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721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  <w:r w:rsidR="00E96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May</w:t>
            </w:r>
            <w:r w:rsidR="00741003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E96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2721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41003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5148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34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1976"/>
        <w:gridCol w:w="2589"/>
      </w:tblGrid>
      <w:tr w:rsidR="0005580F" w:rsidRPr="0051482D" w:rsidTr="0051482D">
        <w:trPr>
          <w:cantSplit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51482D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51482D">
              <w:rPr>
                <w:lang w:val="en-US" w:eastAsia="en-US"/>
              </w:rPr>
              <w:t xml:space="preserve">3. Signature </w:t>
            </w:r>
          </w:p>
        </w:tc>
      </w:tr>
      <w:tr w:rsidR="0005580F" w:rsidRPr="0051482D" w:rsidTr="0051482D">
        <w:trPr>
          <w:cantSplit/>
          <w:trHeight w:val="118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51482D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51482D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51482D">
              <w:rPr>
                <w:lang w:val="en-US"/>
              </w:rPr>
              <w:t>of 19.12.2018)</w:t>
            </w:r>
          </w:p>
          <w:p w:rsidR="0005580F" w:rsidRPr="0051482D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51482D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51482D">
              <w:rPr>
                <w:lang w:val="en-US" w:eastAsia="en-US"/>
              </w:rPr>
              <w:t>________________</w:t>
            </w:r>
          </w:p>
          <w:p w:rsidR="0005580F" w:rsidRPr="0051482D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51482D">
              <w:rPr>
                <w:lang w:val="en-US" w:eastAsia="en-US"/>
              </w:rPr>
              <w:t>(signature)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51482D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51482D">
              <w:rPr>
                <w:lang w:val="en-US" w:eastAsia="en-US"/>
              </w:rPr>
              <w:t>Didenko Ye.Ye.</w:t>
            </w:r>
          </w:p>
          <w:p w:rsidR="0005580F" w:rsidRPr="0051482D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51482D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51482D" w:rsidTr="0051482D">
        <w:trPr>
          <w:cantSplit/>
          <w:trHeight w:val="645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51482D" w:rsidRDefault="0005580F" w:rsidP="00272130">
            <w:pPr>
              <w:spacing w:line="252" w:lineRule="auto"/>
              <w:rPr>
                <w:lang w:val="en-US" w:eastAsia="en-US"/>
              </w:rPr>
            </w:pPr>
            <w:r w:rsidRPr="0051482D">
              <w:rPr>
                <w:lang w:val="en-US" w:eastAsia="en-US"/>
              </w:rPr>
              <w:t xml:space="preserve">3.2 Date: </w:t>
            </w:r>
            <w:r w:rsidR="00E968BA">
              <w:rPr>
                <w:lang w:val="en-US" w:eastAsia="en-US"/>
              </w:rPr>
              <w:t>2</w:t>
            </w:r>
            <w:r w:rsidR="00272130">
              <w:rPr>
                <w:lang w:val="en-US" w:eastAsia="en-US"/>
              </w:rPr>
              <w:t>8</w:t>
            </w:r>
            <w:bookmarkStart w:id="0" w:name="_GoBack"/>
            <w:bookmarkEnd w:id="0"/>
            <w:r w:rsidR="00E968BA">
              <w:rPr>
                <w:lang w:val="en-US" w:eastAsia="en-US"/>
              </w:rPr>
              <w:t xml:space="preserve"> May</w:t>
            </w:r>
            <w:r w:rsidRPr="0051482D">
              <w:rPr>
                <w:lang w:val="en-US" w:eastAsia="en-US"/>
              </w:rPr>
              <w:t xml:space="preserve"> 2019</w:t>
            </w:r>
            <w:r w:rsidRPr="0051482D">
              <w:rPr>
                <w:b/>
                <w:bCs/>
                <w:lang w:val="en-US" w:eastAsia="en-US"/>
              </w:rPr>
              <w:t xml:space="preserve"> </w:t>
            </w:r>
            <w:r w:rsidRPr="0051482D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51482D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51482D">
              <w:rPr>
                <w:lang w:val="en-US" w:eastAsia="en-US"/>
              </w:rPr>
              <w:t xml:space="preserve">seal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51482D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51482D" w:rsidRDefault="0005580F" w:rsidP="00902817">
      <w:pPr>
        <w:jc w:val="center"/>
      </w:pPr>
    </w:p>
    <w:sectPr w:rsidR="0005580F" w:rsidRPr="0051482D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2E" w:rsidRDefault="0026172E" w:rsidP="00C5099C">
      <w:r>
        <w:separator/>
      </w:r>
    </w:p>
  </w:endnote>
  <w:endnote w:type="continuationSeparator" w:id="0">
    <w:p w:rsidR="0026172E" w:rsidRDefault="0026172E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2E" w:rsidRDefault="0026172E" w:rsidP="00C5099C">
      <w:r>
        <w:separator/>
      </w:r>
    </w:p>
  </w:footnote>
  <w:footnote w:type="continuationSeparator" w:id="0">
    <w:p w:rsidR="0026172E" w:rsidRDefault="0026172E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54C5"/>
    <w:rsid w:val="00087563"/>
    <w:rsid w:val="000878AC"/>
    <w:rsid w:val="00087DA5"/>
    <w:rsid w:val="00091224"/>
    <w:rsid w:val="0009636A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172E"/>
    <w:rsid w:val="00264E98"/>
    <w:rsid w:val="00265D89"/>
    <w:rsid w:val="00267CD9"/>
    <w:rsid w:val="00271F6A"/>
    <w:rsid w:val="00272130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C7F40"/>
    <w:rsid w:val="002D2643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22BD5"/>
    <w:rsid w:val="003303DF"/>
    <w:rsid w:val="003318D5"/>
    <w:rsid w:val="00340BA2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482D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87A9B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56DE"/>
    <w:rsid w:val="00AD3E9C"/>
    <w:rsid w:val="00B01511"/>
    <w:rsid w:val="00B060B5"/>
    <w:rsid w:val="00B10F87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A685E"/>
    <w:rsid w:val="00CB1E20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F0432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8BA"/>
    <w:rsid w:val="00E96B69"/>
    <w:rsid w:val="00E9711F"/>
    <w:rsid w:val="00EA729C"/>
    <w:rsid w:val="00EB4856"/>
    <w:rsid w:val="00EC1DE4"/>
    <w:rsid w:val="00EC1F14"/>
    <w:rsid w:val="00EC2676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D1EF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43889-5784-4DCA-95C9-54A2A232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32</cp:revision>
  <cp:lastPrinted>2019-02-26T07:31:00Z</cp:lastPrinted>
  <dcterms:created xsi:type="dcterms:W3CDTF">2019-03-07T08:14:00Z</dcterms:created>
  <dcterms:modified xsi:type="dcterms:W3CDTF">2019-05-28T10:55:00Z</dcterms:modified>
</cp:coreProperties>
</file>