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63C" w:rsidRDefault="00AC063C" w:rsidP="00B331AF">
      <w:pPr>
        <w:pStyle w:val="1"/>
        <w:spacing w:before="0" w:beforeAutospacing="0" w:after="0" w:afterAutospacing="0"/>
        <w:jc w:val="center"/>
        <w:rPr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Statement of material fact</w:t>
      </w:r>
      <w:r w:rsidRPr="00BC397A">
        <w:rPr>
          <w:sz w:val="24"/>
          <w:szCs w:val="24"/>
          <w:lang w:val="en-US"/>
        </w:rPr>
        <w:t xml:space="preserve"> </w:t>
      </w:r>
    </w:p>
    <w:p w:rsidR="00AC063C" w:rsidRPr="00AC063C" w:rsidRDefault="00AC063C" w:rsidP="00B331AF">
      <w:pPr>
        <w:pStyle w:val="1"/>
        <w:spacing w:before="0" w:beforeAutospacing="0" w:after="0" w:afterAutospacing="0"/>
        <w:jc w:val="center"/>
        <w:rPr>
          <w:sz w:val="24"/>
          <w:szCs w:val="24"/>
          <w:lang w:val="en-US"/>
        </w:rPr>
      </w:pPr>
      <w:r w:rsidRPr="00BC397A">
        <w:rPr>
          <w:sz w:val="24"/>
          <w:szCs w:val="24"/>
          <w:lang w:val="en-US"/>
        </w:rPr>
        <w:t>on the date of</w:t>
      </w:r>
      <w:r>
        <w:rPr>
          <w:sz w:val="24"/>
          <w:szCs w:val="24"/>
          <w:lang w:val="en-US"/>
        </w:rPr>
        <w:t xml:space="preserve"> determining</w:t>
      </w:r>
      <w:r w:rsidRPr="00BC397A">
        <w:rPr>
          <w:sz w:val="24"/>
          <w:szCs w:val="24"/>
          <w:lang w:val="en-US"/>
        </w:rPr>
        <w:t xml:space="preserve"> persons that are entitled to exercise rights under securities, as well as the date of </w:t>
      </w:r>
      <w:r>
        <w:rPr>
          <w:sz w:val="24"/>
          <w:szCs w:val="24"/>
          <w:lang w:val="en-US"/>
        </w:rPr>
        <w:t>making</w:t>
      </w:r>
      <w:r w:rsidRPr="00BC397A">
        <w:rPr>
          <w:sz w:val="24"/>
          <w:szCs w:val="24"/>
          <w:lang w:val="en-US"/>
        </w:rPr>
        <w:t xml:space="preserve"> the list of persons entitled to participate in the issuer’s general shareholders’ meeting</w:t>
      </w:r>
      <w:r w:rsidRPr="00BC397A">
        <w:rPr>
          <w:sz w:val="24"/>
          <w:szCs w:val="24"/>
          <w:shd w:val="clear" w:color="auto" w:fill="FFFFFF"/>
          <w:lang w:val="en-US"/>
        </w:rPr>
        <w:t>”</w:t>
      </w:r>
      <w:r>
        <w:rPr>
          <w:sz w:val="24"/>
          <w:szCs w:val="24"/>
          <w:shd w:val="clear" w:color="auto" w:fill="FFFFFF"/>
          <w:lang w:val="en-US"/>
        </w:rPr>
        <w:t xml:space="preserve"> (</w:t>
      </w:r>
      <w:r w:rsidRPr="00AC063C">
        <w:rPr>
          <w:sz w:val="24"/>
          <w:szCs w:val="24"/>
          <w:lang w:val="en-US"/>
        </w:rPr>
        <w:t>Disclosure of insider information</w:t>
      </w:r>
      <w:r w:rsidRPr="00AC063C">
        <w:rPr>
          <w:sz w:val="24"/>
          <w:szCs w:val="24"/>
          <w:shd w:val="clear" w:color="auto" w:fill="FFFFFF"/>
          <w:lang w:val="en-US"/>
        </w:rPr>
        <w:t>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11"/>
        <w:gridCol w:w="2259"/>
        <w:gridCol w:w="2041"/>
      </w:tblGrid>
      <w:tr w:rsidR="00AC063C" w:rsidRPr="00BC397A" w:rsidTr="00B331A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AC063C" w:rsidRPr="00D37802" w:rsidTr="00B331AF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AC063C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i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ssuer</w:t>
            </w:r>
            <w:r w:rsidRPr="00BC397A">
              <w:rPr>
                <w:rFonts w:ascii="Times New Roman" w:hAnsi="Times New Roman"/>
                <w:sz w:val="24"/>
                <w:szCs w:val="24"/>
              </w:rPr>
              <w:t>’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AC063C" w:rsidRPr="00BC397A" w:rsidTr="00B331A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i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ssuer</w:t>
            </w:r>
            <w:r w:rsidRPr="00BC397A">
              <w:rPr>
                <w:rFonts w:ascii="Times New Roman" w:hAnsi="Times New Roman"/>
                <w:sz w:val="24"/>
                <w:szCs w:val="24"/>
              </w:rPr>
              <w:t>’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D37802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AC063C" w:rsidRPr="00BC397A" w:rsidTr="00B331A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i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ssuer</w:t>
            </w:r>
            <w:r w:rsidRPr="00BC397A">
              <w:rPr>
                <w:rFonts w:ascii="Times New Roman" w:hAnsi="Times New Roman"/>
                <w:sz w:val="24"/>
                <w:szCs w:val="24"/>
              </w:rPr>
              <w:t>’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 location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D37802" w:rsidP="00D37802">
            <w:pPr>
              <w:spacing w:after="120"/>
              <w:rPr>
                <w:lang w:val="en-US" w:eastAsia="en-US"/>
              </w:rPr>
            </w:pPr>
            <w:r>
              <w:rPr>
                <w:lang w:val="en-US" w:eastAsia="en-US"/>
              </w:rPr>
              <w:t>Krasnodar, Russian federation</w:t>
            </w:r>
          </w:p>
        </w:tc>
      </w:tr>
      <w:tr w:rsidR="00AC063C" w:rsidRPr="00BC397A" w:rsidTr="00B331A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i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ssuer</w:t>
            </w:r>
            <w:r w:rsidRPr="00BC397A">
              <w:rPr>
                <w:rFonts w:ascii="Times New Roman" w:hAnsi="Times New Roman"/>
                <w:sz w:val="24"/>
                <w:szCs w:val="24"/>
              </w:rPr>
              <w:t>’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 PSRN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AC063C" w:rsidRPr="00BC397A" w:rsidTr="00B331A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i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ssuer</w:t>
            </w:r>
            <w:r w:rsidRPr="00BC397A">
              <w:rPr>
                <w:rFonts w:ascii="Times New Roman" w:hAnsi="Times New Roman"/>
                <w:sz w:val="24"/>
                <w:szCs w:val="24"/>
              </w:rPr>
              <w:t>’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 TIN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AC063C" w:rsidRPr="00BC397A" w:rsidTr="00B331A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i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ssuer</w:t>
            </w:r>
            <w:r w:rsidRPr="00AC063C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 unique code assigned by registering authority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AC063C" w:rsidRPr="00D37802" w:rsidTr="00B331A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</w:t>
            </w:r>
            <w:r w:rsidRPr="00BC397A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C39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Web-page on the Internet used  by the issuer to disclose information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AC063C" w:rsidRDefault="00D37802" w:rsidP="004B5F63">
            <w:pPr>
              <w:spacing w:after="120"/>
              <w:rPr>
                <w:rStyle w:val="a3"/>
                <w:lang w:val="en-US"/>
              </w:rPr>
            </w:pPr>
            <w:hyperlink r:id="rId5" w:history="1">
              <w:r w:rsidR="00AC063C" w:rsidRPr="00AC063C">
                <w:rPr>
                  <w:rStyle w:val="a3"/>
                  <w:lang w:val="en-US" w:eastAsia="en-US"/>
                </w:rPr>
                <w:t>www.kubanenergo.ru</w:t>
              </w:r>
            </w:hyperlink>
          </w:p>
          <w:p w:rsidR="00AC063C" w:rsidRPr="00AC063C" w:rsidRDefault="00D37802" w:rsidP="00AC063C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AC063C" w:rsidRPr="0037593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www.e-disclosure.ru/portal/company.aspx?id=2827</w:t>
              </w:r>
            </w:hyperlink>
          </w:p>
        </w:tc>
      </w:tr>
      <w:tr w:rsidR="00D37802" w:rsidRPr="00D37802" w:rsidTr="00B331A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2" w:rsidRDefault="00D37802" w:rsidP="00D37802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2" w:rsidRPr="00E2324A" w:rsidRDefault="00D37802" w:rsidP="00D37802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  <w:lang w:val="en-US"/>
              </w:rPr>
              <w:t>.03.</w:t>
            </w:r>
            <w:r w:rsidRPr="00E2324A">
              <w:rPr>
                <w:rFonts w:ascii="Times New Roman" w:hAnsi="Times New Roman"/>
                <w:sz w:val="24"/>
                <w:lang w:val="en-US"/>
              </w:rPr>
              <w:t>2019</w:t>
            </w:r>
          </w:p>
        </w:tc>
      </w:tr>
      <w:tr w:rsidR="00AC063C" w:rsidRPr="00BC397A" w:rsidTr="00B331A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C063C" w:rsidRPr="00BC397A" w:rsidRDefault="00AC063C" w:rsidP="004B5F6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/>
              <w:jc w:val="center"/>
              <w:rPr>
                <w:b/>
                <w:bCs/>
                <w:lang w:val="en-US" w:eastAsia="en-US"/>
              </w:rPr>
            </w:pPr>
            <w:r w:rsidRPr="00BC397A">
              <w:rPr>
                <w:lang w:val="en-US" w:eastAsia="en-US"/>
              </w:rPr>
              <w:t>2. Statement content</w:t>
            </w:r>
          </w:p>
        </w:tc>
      </w:tr>
      <w:tr w:rsidR="00AC063C" w:rsidRPr="00D37802" w:rsidTr="00B331A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1AF" w:rsidRPr="00A265D9" w:rsidRDefault="00B331AF" w:rsidP="00B331AF">
            <w:pPr>
              <w:jc w:val="both"/>
              <w:rPr>
                <w:rFonts w:eastAsiaTheme="minorHAnsi"/>
                <w:b/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2.1. </w:t>
            </w:r>
            <w:r w:rsidRPr="00A265D9">
              <w:rPr>
                <w:lang w:val="en-US"/>
              </w:rPr>
              <w:t>Kind, category (type), series and other identification characteristics of registered securities of</w:t>
            </w:r>
            <w:r>
              <w:rPr>
                <w:lang w:val="en-US"/>
              </w:rPr>
              <w:t xml:space="preserve"> the issuer in respect of which</w:t>
            </w:r>
            <w:r w:rsidR="00D37802" w:rsidRPr="00D37802">
              <w:rPr>
                <w:lang w:val="en-US"/>
              </w:rPr>
              <w:t xml:space="preserve"> </w:t>
            </w:r>
            <w:r w:rsidRPr="00A265D9">
              <w:rPr>
                <w:lang w:val="en-US"/>
              </w:rPr>
              <w:t xml:space="preserve">the date of defining persons entitled to exercise rights attached to securities, is set: </w:t>
            </w:r>
            <w:r w:rsidRPr="00A265D9">
              <w:rPr>
                <w:b/>
                <w:lang w:val="en-US"/>
              </w:rPr>
              <w:t>uncertified registered ordinary shares</w:t>
            </w:r>
            <w:r w:rsidRPr="00A265D9">
              <w:rPr>
                <w:rFonts w:eastAsiaTheme="minorHAnsi"/>
                <w:b/>
                <w:lang w:val="en-US"/>
              </w:rPr>
              <w:t>, state registration number 1-02-00063-A;</w:t>
            </w:r>
          </w:p>
          <w:p w:rsidR="00B331AF" w:rsidRPr="00A265D9" w:rsidRDefault="00B331AF" w:rsidP="00B331AF">
            <w:pPr>
              <w:jc w:val="both"/>
              <w:rPr>
                <w:lang w:val="en-US"/>
              </w:rPr>
            </w:pPr>
            <w:r w:rsidRPr="00A265D9">
              <w:rPr>
                <w:lang w:val="en-US"/>
              </w:rPr>
              <w:t>International Sto</w:t>
            </w:r>
            <w:r>
              <w:rPr>
                <w:lang w:val="en-US"/>
              </w:rPr>
              <w:t>ck Identification Number (ISIN)</w:t>
            </w:r>
            <w:r w:rsidRPr="00A265D9">
              <w:rPr>
                <w:lang w:val="en-US"/>
              </w:rPr>
              <w:t xml:space="preserve">: </w:t>
            </w:r>
            <w:r w:rsidRPr="00A265D9">
              <w:rPr>
                <w:b/>
                <w:color w:val="000000"/>
                <w:lang w:val="en-US"/>
              </w:rPr>
              <w:t>RU0009046767</w:t>
            </w:r>
          </w:p>
          <w:p w:rsidR="00B331AF" w:rsidRPr="00A265D9" w:rsidRDefault="00B331AF" w:rsidP="00B331AF">
            <w:pPr>
              <w:jc w:val="both"/>
              <w:rPr>
                <w:rFonts w:eastAsiaTheme="minorHAnsi"/>
                <w:b/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2.2. Rights granted by securities of the issuer </w:t>
            </w:r>
            <w:r w:rsidRPr="00A265D9">
              <w:rPr>
                <w:lang w:val="en-US"/>
              </w:rPr>
              <w:t>in respect of which, the date of defining persons entitled to exercise rights attached to securities, is set</w:t>
            </w:r>
            <w:r w:rsidRPr="00A265D9">
              <w:rPr>
                <w:rFonts w:eastAsiaTheme="minorHAnsi"/>
                <w:lang w:val="en-US"/>
              </w:rPr>
              <w:t xml:space="preserve">: </w:t>
            </w:r>
            <w:r w:rsidRPr="00A265D9">
              <w:rPr>
                <w:b/>
                <w:lang w:val="en-US"/>
              </w:rPr>
              <w:t>right to participate personally or by proxy in General meeting of Company’s shareholders with voting right on all issues of the participant’s competence.</w:t>
            </w:r>
          </w:p>
          <w:p w:rsidR="00B331AF" w:rsidRPr="00D37802" w:rsidRDefault="00B331AF" w:rsidP="00B331AF">
            <w:pPr>
              <w:jc w:val="both"/>
              <w:rPr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2.3. </w:t>
            </w:r>
            <w:r w:rsidRPr="00A265D9">
              <w:rPr>
                <w:lang w:val="en-US"/>
              </w:rPr>
              <w:t xml:space="preserve">Date as of which the list </w:t>
            </w:r>
            <w:r>
              <w:rPr>
                <w:lang w:val="en-US"/>
              </w:rPr>
              <w:t xml:space="preserve">of the </w:t>
            </w:r>
            <w:r w:rsidRPr="00A265D9">
              <w:rPr>
                <w:lang w:val="en-US"/>
              </w:rPr>
              <w:t>issuer’s securities holders is made</w:t>
            </w:r>
            <w:r w:rsidRPr="00A265D9">
              <w:rPr>
                <w:rFonts w:eastAsiaTheme="minorHAnsi"/>
                <w:lang w:val="en-US"/>
              </w:rPr>
              <w:t xml:space="preserve">: </w:t>
            </w:r>
            <w:r w:rsidR="00D37802">
              <w:rPr>
                <w:rFonts w:eastAsiaTheme="minorHAnsi"/>
                <w:b/>
                <w:lang w:val="en-US"/>
              </w:rPr>
              <w:t>24.03.2019</w:t>
            </w:r>
          </w:p>
          <w:p w:rsidR="00AC063C" w:rsidRPr="00BC397A" w:rsidRDefault="00B331AF" w:rsidP="00D37802">
            <w:pPr>
              <w:shd w:val="clear" w:color="auto" w:fill="FFFFFF"/>
              <w:spacing w:after="120"/>
              <w:jc w:val="both"/>
              <w:rPr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2.4. Date of drawing and number of minutes of meeting of authorized body of the issuer that adopted the decision on the </w:t>
            </w:r>
            <w:r w:rsidRPr="00A265D9">
              <w:rPr>
                <w:lang w:val="en-US"/>
              </w:rPr>
              <w:t>date as of which</w:t>
            </w:r>
            <w:r w:rsidRPr="00A265D9">
              <w:rPr>
                <w:b/>
                <w:lang w:val="en-US"/>
              </w:rPr>
              <w:t xml:space="preserve"> </w:t>
            </w:r>
            <w:r w:rsidRPr="00A265D9">
              <w:rPr>
                <w:lang w:val="en-US"/>
              </w:rPr>
              <w:t>are defined persons entitled to exercise rights attached to securities (date of making the list of securities holders for the purposes on exercising of rights attached to issuer’s securities),</w:t>
            </w:r>
            <w:r w:rsidRPr="00A265D9">
              <w:rPr>
                <w:rFonts w:eastAsiaTheme="minorHAnsi"/>
                <w:lang w:val="en-US"/>
              </w:rPr>
              <w:t xml:space="preserve"> or other decision considered as a ground for setting the date: </w:t>
            </w:r>
            <w:r w:rsidRPr="00A265D9">
              <w:rPr>
                <w:rFonts w:eastAsiaTheme="minorHAnsi"/>
                <w:b/>
                <w:lang w:val="en-US"/>
              </w:rPr>
              <w:t>minutes of Kubanenergo BoD meeting No.</w:t>
            </w:r>
            <w:r>
              <w:rPr>
                <w:rFonts w:eastAsiaTheme="minorHAnsi"/>
                <w:b/>
                <w:lang w:val="en-US"/>
              </w:rPr>
              <w:t>3</w:t>
            </w:r>
            <w:r w:rsidR="00D37802">
              <w:rPr>
                <w:rFonts w:eastAsiaTheme="minorHAnsi"/>
                <w:b/>
                <w:lang w:val="en-US"/>
              </w:rPr>
              <w:t>33</w:t>
            </w:r>
            <w:r w:rsidRPr="00A265D9">
              <w:rPr>
                <w:rFonts w:eastAsiaTheme="minorHAnsi"/>
                <w:b/>
                <w:lang w:val="en-US"/>
              </w:rPr>
              <w:t>/201</w:t>
            </w:r>
            <w:r w:rsidR="00D37802">
              <w:rPr>
                <w:rFonts w:eastAsiaTheme="minorHAnsi"/>
                <w:b/>
                <w:lang w:val="en-US"/>
              </w:rPr>
              <w:t>9</w:t>
            </w:r>
            <w:r>
              <w:rPr>
                <w:rFonts w:eastAsiaTheme="minorHAnsi"/>
                <w:b/>
                <w:lang w:val="en-US"/>
              </w:rPr>
              <w:t xml:space="preserve"> </w:t>
            </w:r>
            <w:r w:rsidR="00D37802">
              <w:rPr>
                <w:rFonts w:eastAsiaTheme="minorHAnsi"/>
                <w:b/>
                <w:lang w:val="en-US"/>
              </w:rPr>
              <w:t>of</w:t>
            </w:r>
            <w:r w:rsidRPr="00A265D9">
              <w:rPr>
                <w:rFonts w:eastAsiaTheme="minorHAnsi"/>
                <w:b/>
                <w:lang w:val="en-US"/>
              </w:rPr>
              <w:t xml:space="preserve"> </w:t>
            </w:r>
            <w:r w:rsidR="00D37802">
              <w:rPr>
                <w:rFonts w:eastAsiaTheme="minorHAnsi"/>
                <w:b/>
                <w:lang w:val="en-US"/>
              </w:rPr>
              <w:t>14.03.2019</w:t>
            </w:r>
            <w:r w:rsidRPr="00A265D9">
              <w:rPr>
                <w:rFonts w:eastAsiaTheme="minorHAnsi"/>
                <w:b/>
                <w:lang w:val="en-US"/>
              </w:rPr>
              <w:t>.</w:t>
            </w:r>
          </w:p>
        </w:tc>
      </w:tr>
      <w:tr w:rsidR="00AC063C" w:rsidRPr="00C262C3" w:rsidTr="00B331AF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C063C" w:rsidRDefault="00AC063C" w:rsidP="004B5F63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AC063C" w:rsidTr="00B331AF">
        <w:trPr>
          <w:cantSplit/>
          <w:trHeight w:val="1187"/>
        </w:trPr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C063C" w:rsidRDefault="00AC063C" w:rsidP="00D37802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3.Head of the Corporate Governance and Shareholder Relations Department (by power of attorney No.</w:t>
            </w:r>
            <w:r w:rsidR="00D37802" w:rsidRPr="00D37802">
              <w:rPr>
                <w:rFonts w:eastAsia="Calibri"/>
                <w:lang w:val="en-US"/>
              </w:rPr>
              <w:t xml:space="preserve"> </w:t>
            </w:r>
            <w:r w:rsidR="00D37802" w:rsidRPr="00D37802">
              <w:rPr>
                <w:rFonts w:eastAsia="Calibri"/>
                <w:lang w:val="en-US"/>
              </w:rPr>
              <w:t xml:space="preserve">119/10-1406 </w:t>
            </w:r>
            <w:r w:rsidR="00D37802">
              <w:rPr>
                <w:rFonts w:eastAsia="Calibri"/>
                <w:lang w:val="en-US"/>
              </w:rPr>
              <w:t>of</w:t>
            </w:r>
            <w:r w:rsidR="00D37802" w:rsidRPr="00D37802">
              <w:rPr>
                <w:rFonts w:eastAsia="Calibri"/>
                <w:lang w:val="en-US"/>
              </w:rPr>
              <w:t xml:space="preserve"> 19.12.2018</w:t>
            </w:r>
            <w:r>
              <w:rPr>
                <w:lang w:val="en-US"/>
              </w:rPr>
              <w:t>)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C063C" w:rsidRPr="00300B5A" w:rsidRDefault="00AC063C" w:rsidP="004B5F63">
            <w:pPr>
              <w:spacing w:line="252" w:lineRule="auto"/>
              <w:ind w:left="702"/>
              <w:rPr>
                <w:sz w:val="20"/>
                <w:lang w:val="en-US" w:eastAsia="en-US"/>
              </w:rPr>
            </w:pPr>
            <w:r w:rsidRPr="00300B5A">
              <w:rPr>
                <w:sz w:val="20"/>
                <w:lang w:val="en-US" w:eastAsia="en-US"/>
              </w:rPr>
              <w:t>_______________</w:t>
            </w:r>
          </w:p>
          <w:p w:rsidR="00AC063C" w:rsidRPr="00300B5A" w:rsidRDefault="00AC063C" w:rsidP="004B5F63">
            <w:pPr>
              <w:spacing w:line="252" w:lineRule="auto"/>
              <w:ind w:left="702"/>
              <w:rPr>
                <w:sz w:val="20"/>
                <w:lang w:val="en-US" w:eastAsia="en-US"/>
              </w:rPr>
            </w:pPr>
            <w:r w:rsidRPr="00300B5A"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063C" w:rsidRDefault="00AC063C" w:rsidP="004B5F63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AC063C" w:rsidRDefault="00AC063C" w:rsidP="004B5F63">
            <w:pPr>
              <w:spacing w:line="252" w:lineRule="auto"/>
              <w:rPr>
                <w:lang w:val="en-US" w:eastAsia="en-US"/>
              </w:rPr>
            </w:pPr>
          </w:p>
        </w:tc>
      </w:tr>
      <w:tr w:rsidR="00AC063C" w:rsidTr="00B331AF">
        <w:trPr>
          <w:cantSplit/>
          <w:trHeight w:val="645"/>
        </w:trPr>
        <w:tc>
          <w:tcPr>
            <w:tcW w:w="5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C063C" w:rsidRPr="00D37802" w:rsidRDefault="00AC063C" w:rsidP="00D37802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 w:rsidR="00D37802">
              <w:rPr>
                <w:lang w:val="en-US" w:eastAsia="en-US"/>
              </w:rPr>
              <w:t>15 March 2019</w:t>
            </w:r>
            <w:bookmarkStart w:id="0" w:name="_GoBack"/>
            <w:bookmarkEnd w:id="0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C063C" w:rsidRPr="00300B5A" w:rsidRDefault="00AC063C" w:rsidP="004B5F63">
            <w:pPr>
              <w:spacing w:line="252" w:lineRule="auto"/>
              <w:rPr>
                <w:sz w:val="20"/>
                <w:lang w:val="en-US" w:eastAsia="en-US"/>
              </w:rPr>
            </w:pPr>
            <w:r w:rsidRPr="00300B5A"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063C" w:rsidRDefault="00AC063C" w:rsidP="004B5F63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AC063C" w:rsidRDefault="00AC063C" w:rsidP="00AC063C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3C"/>
    <w:rsid w:val="0059029B"/>
    <w:rsid w:val="0062058F"/>
    <w:rsid w:val="00AC063C"/>
    <w:rsid w:val="00B331AF"/>
    <w:rsid w:val="00D37802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A72B"/>
  <w15:chartTrackingRefBased/>
  <w15:docId w15:val="{696A8938-CBDD-4C54-B205-F6F049E2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6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C063C"/>
    <w:rPr>
      <w:color w:val="0000FF"/>
      <w:u w:val="single"/>
    </w:rPr>
  </w:style>
  <w:style w:type="paragraph" w:styleId="a4">
    <w:name w:val="No Spacing"/>
    <w:link w:val="a5"/>
    <w:uiPriority w:val="1"/>
    <w:qFormat/>
    <w:rsid w:val="00AC06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C06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C063C"/>
  </w:style>
  <w:style w:type="character" w:customStyle="1" w:styleId="a5">
    <w:name w:val="Без интервала Знак"/>
    <w:link w:val="a4"/>
    <w:uiPriority w:val="1"/>
    <w:locked/>
    <w:rsid w:val="00AC06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2018-04-23T16:41:00Z</dcterms:created>
  <dcterms:modified xsi:type="dcterms:W3CDTF">2019-03-15T13:08:00Z</dcterms:modified>
</cp:coreProperties>
</file>