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3B" w:rsidRPr="00BB7936" w:rsidRDefault="0039053B" w:rsidP="00C330C4">
      <w:pPr>
        <w:pStyle w:val="a5"/>
        <w:jc w:val="center"/>
        <w:rPr>
          <w:rFonts w:ascii="Times New Roman" w:hAnsi="Times New Roman" w:cs="Times New Roman"/>
          <w:b/>
          <w:color w:val="000000" w:themeColor="text1"/>
          <w:sz w:val="24"/>
          <w:szCs w:val="24"/>
          <w:lang w:val="en-US"/>
        </w:rPr>
      </w:pPr>
      <w:r w:rsidRPr="00BB7936">
        <w:rPr>
          <w:rFonts w:ascii="Times New Roman" w:hAnsi="Times New Roman" w:cs="Times New Roman"/>
          <w:b/>
          <w:color w:val="000000" w:themeColor="text1"/>
          <w:sz w:val="24"/>
          <w:szCs w:val="24"/>
          <w:lang w:val="en-US"/>
        </w:rPr>
        <w:t>Statement of material fact</w:t>
      </w:r>
    </w:p>
    <w:p w:rsidR="0039053B" w:rsidRPr="00BB7936" w:rsidRDefault="0039053B" w:rsidP="00C330C4">
      <w:pPr>
        <w:pStyle w:val="a5"/>
        <w:jc w:val="center"/>
        <w:rPr>
          <w:rFonts w:ascii="Times New Roman" w:hAnsi="Times New Roman" w:cs="Times New Roman"/>
          <w:b/>
          <w:bCs/>
          <w:color w:val="000000" w:themeColor="text1"/>
          <w:sz w:val="24"/>
          <w:szCs w:val="24"/>
          <w:lang w:val="en-US"/>
        </w:rPr>
      </w:pPr>
      <w:r w:rsidRPr="00BB7936">
        <w:rPr>
          <w:rFonts w:ascii="Times New Roman" w:hAnsi="Times New Roman" w:cs="Times New Roman"/>
          <w:b/>
          <w:bCs/>
          <w:color w:val="000000" w:themeColor="text1"/>
          <w:sz w:val="24"/>
          <w:szCs w:val="24"/>
          <w:lang w:val="en-US"/>
        </w:rPr>
        <w:t>“On decisions adopted by the Issuer’s Board of Directors”</w:t>
      </w:r>
    </w:p>
    <w:p w:rsidR="0039053B" w:rsidRPr="00BB7936" w:rsidRDefault="0039053B" w:rsidP="00C330C4">
      <w:pPr>
        <w:pStyle w:val="a5"/>
        <w:jc w:val="center"/>
        <w:rPr>
          <w:rFonts w:ascii="Times New Roman" w:hAnsi="Times New Roman" w:cs="Times New Roman"/>
          <w:b/>
          <w:bCs/>
          <w:color w:val="000000" w:themeColor="text1"/>
          <w:sz w:val="24"/>
          <w:szCs w:val="24"/>
          <w:lang w:val="en-US"/>
        </w:rPr>
      </w:pPr>
      <w:r w:rsidRPr="00BB7936">
        <w:rPr>
          <w:rFonts w:ascii="Times New Roman" w:hAnsi="Times New Roman" w:cs="Times New Roman"/>
          <w:b/>
          <w:bCs/>
          <w:color w:val="000000" w:themeColor="text1"/>
          <w:sz w:val="24"/>
          <w:szCs w:val="24"/>
          <w:lang w:val="en-US"/>
        </w:rPr>
        <w:t>(disclosure of inside information)</w:t>
      </w:r>
    </w:p>
    <w:tbl>
      <w:tblPr>
        <w:tblStyle w:val="a6"/>
        <w:tblW w:w="9498" w:type="dxa"/>
        <w:tblInd w:w="-147" w:type="dxa"/>
        <w:tblLook w:val="04A0" w:firstRow="1" w:lastRow="0" w:firstColumn="1" w:lastColumn="0" w:noHBand="0" w:noVBand="1"/>
      </w:tblPr>
      <w:tblGrid>
        <w:gridCol w:w="4395"/>
        <w:gridCol w:w="5103"/>
      </w:tblGrid>
      <w:tr w:rsidR="0039053B" w:rsidRPr="00BB7936" w:rsidTr="00C330C4">
        <w:tc>
          <w:tcPr>
            <w:tcW w:w="9498" w:type="dxa"/>
            <w:gridSpan w:val="2"/>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numPr>
                <w:ilvl w:val="0"/>
                <w:numId w:val="1"/>
              </w:numPr>
              <w:ind w:left="0" w:firstLine="0"/>
              <w:jc w:val="center"/>
              <w:rPr>
                <w:rFonts w:ascii="Times New Roman" w:hAnsi="Times New Roman" w:cs="Times New Roman"/>
                <w:color w:val="000000" w:themeColor="text1"/>
                <w:sz w:val="24"/>
                <w:szCs w:val="24"/>
              </w:rPr>
            </w:pPr>
            <w:r w:rsidRPr="00BB7936">
              <w:rPr>
                <w:rFonts w:ascii="Times New Roman" w:hAnsi="Times New Roman" w:cs="Times New Roman"/>
                <w:color w:val="000000" w:themeColor="text1"/>
                <w:sz w:val="24"/>
                <w:szCs w:val="24"/>
                <w:lang w:val="en-US"/>
              </w:rPr>
              <w:t>General data</w:t>
            </w:r>
          </w:p>
        </w:tc>
      </w:tr>
      <w:tr w:rsidR="0039053B" w:rsidRPr="00B912EE" w:rsidTr="00C330C4">
        <w:trPr>
          <w:trHeight w:val="599"/>
        </w:trPr>
        <w:tc>
          <w:tcPr>
            <w:tcW w:w="4395"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 xml:space="preserve">1.1  Full business name of the issuer </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Public joint-stock company of Power Industry and Electrification of Kuban</w:t>
            </w:r>
          </w:p>
        </w:tc>
      </w:tr>
      <w:tr w:rsidR="0039053B" w:rsidRPr="00BB7936" w:rsidTr="00C330C4">
        <w:tc>
          <w:tcPr>
            <w:tcW w:w="4395"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1.2. Abbreviated business name of the issuer</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both"/>
              <w:rPr>
                <w:rFonts w:ascii="Times New Roman" w:hAnsi="Times New Roman" w:cs="Times New Roman"/>
                <w:color w:val="000000" w:themeColor="text1"/>
                <w:sz w:val="24"/>
                <w:szCs w:val="24"/>
              </w:rPr>
            </w:pPr>
            <w:r w:rsidRPr="00BB7936">
              <w:rPr>
                <w:rFonts w:ascii="Times New Roman" w:hAnsi="Times New Roman" w:cs="Times New Roman"/>
                <w:color w:val="000000" w:themeColor="text1"/>
                <w:sz w:val="24"/>
                <w:szCs w:val="24"/>
                <w:lang w:val="en-US"/>
              </w:rPr>
              <w:t>“Kubanenergo” PJSC</w:t>
            </w:r>
          </w:p>
        </w:tc>
      </w:tr>
      <w:tr w:rsidR="0039053B" w:rsidRPr="00BB7936" w:rsidTr="00C330C4">
        <w:tc>
          <w:tcPr>
            <w:tcW w:w="4395"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rPr>
              <w:t xml:space="preserve">1.3. </w:t>
            </w:r>
            <w:r w:rsidRPr="00BB7936">
              <w:rPr>
                <w:rFonts w:ascii="Times New Roman" w:hAnsi="Times New Roman" w:cs="Times New Roman"/>
                <w:sz w:val="24"/>
                <w:szCs w:val="24"/>
                <w:lang w:val="en-US"/>
              </w:rPr>
              <w:t>Location of the issuer</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jc w:val="both"/>
              <w:rPr>
                <w:color w:val="000000" w:themeColor="text1"/>
                <w:lang w:val="en-US" w:eastAsia="en-US"/>
              </w:rPr>
            </w:pPr>
            <w:r w:rsidRPr="00BB7936">
              <w:rPr>
                <w:color w:val="000000" w:themeColor="text1"/>
                <w:lang w:val="en-US" w:eastAsia="en-US"/>
              </w:rPr>
              <w:t>Krasnodar, Russian Federation</w:t>
            </w:r>
          </w:p>
        </w:tc>
      </w:tr>
      <w:tr w:rsidR="0039053B" w:rsidRPr="00BB7936" w:rsidTr="00C330C4">
        <w:tc>
          <w:tcPr>
            <w:tcW w:w="4395"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1.4. PSRN of the issuer</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1022301427268</w:t>
            </w:r>
          </w:p>
        </w:tc>
      </w:tr>
      <w:tr w:rsidR="0039053B" w:rsidRPr="00BB7936" w:rsidTr="00C330C4">
        <w:trPr>
          <w:trHeight w:val="521"/>
        </w:trPr>
        <w:tc>
          <w:tcPr>
            <w:tcW w:w="4395"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1.5. TIN of the issuer</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2309001660</w:t>
            </w:r>
          </w:p>
        </w:tc>
      </w:tr>
      <w:tr w:rsidR="0039053B" w:rsidRPr="00BB7936" w:rsidTr="00C330C4">
        <w:tc>
          <w:tcPr>
            <w:tcW w:w="4395"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 xml:space="preserve">1.6. The </w:t>
            </w:r>
            <w:r w:rsidRPr="00BB7936">
              <w:rPr>
                <w:rFonts w:ascii="Times New Roman" w:hAnsi="Times New Roman" w:cs="Times New Roman"/>
                <w:sz w:val="24"/>
                <w:szCs w:val="24"/>
                <w:lang w:val="en-GB"/>
              </w:rPr>
              <w:t>issuer’s unique code assigned by the registering body</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rPr>
              <w:t>00063-</w:t>
            </w:r>
            <w:r w:rsidRPr="00BB7936">
              <w:rPr>
                <w:rFonts w:ascii="Times New Roman" w:hAnsi="Times New Roman" w:cs="Times New Roman"/>
                <w:color w:val="000000" w:themeColor="text1"/>
                <w:sz w:val="24"/>
                <w:szCs w:val="24"/>
                <w:lang w:val="en-US"/>
              </w:rPr>
              <w:t>A</w:t>
            </w:r>
          </w:p>
        </w:tc>
      </w:tr>
      <w:tr w:rsidR="0039053B" w:rsidRPr="00B912EE" w:rsidTr="00C330C4">
        <w:tc>
          <w:tcPr>
            <w:tcW w:w="4395"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 xml:space="preserve">1.7. Website used by the issuer for information disclosure </w:t>
            </w:r>
          </w:p>
        </w:tc>
        <w:tc>
          <w:tcPr>
            <w:tcW w:w="5103" w:type="dxa"/>
            <w:tcBorders>
              <w:top w:val="single" w:sz="4" w:space="0" w:color="auto"/>
              <w:left w:val="single" w:sz="4" w:space="0" w:color="auto"/>
              <w:bottom w:val="single" w:sz="4" w:space="0" w:color="auto"/>
              <w:right w:val="single" w:sz="4" w:space="0" w:color="auto"/>
            </w:tcBorders>
            <w:hideMark/>
          </w:tcPr>
          <w:p w:rsidR="0039053B" w:rsidRPr="00E705A1" w:rsidRDefault="002E2915" w:rsidP="00C330C4">
            <w:pPr>
              <w:pStyle w:val="a5"/>
              <w:jc w:val="both"/>
              <w:rPr>
                <w:rFonts w:ascii="Times New Roman" w:hAnsi="Times New Roman" w:cs="Times New Roman"/>
                <w:sz w:val="20"/>
                <w:szCs w:val="24"/>
                <w:lang w:val="en-US"/>
              </w:rPr>
            </w:pPr>
            <w:hyperlink r:id="rId7" w:history="1">
              <w:r w:rsidR="0039053B" w:rsidRPr="00E705A1">
                <w:rPr>
                  <w:rStyle w:val="a3"/>
                  <w:rFonts w:ascii="Times New Roman" w:hAnsi="Times New Roman" w:cs="Times New Roman"/>
                  <w:sz w:val="20"/>
                  <w:szCs w:val="24"/>
                  <w:lang w:val="en-US"/>
                </w:rPr>
                <w:t>www.kubanenergo.ru</w:t>
              </w:r>
            </w:hyperlink>
            <w:r w:rsidR="0039053B" w:rsidRPr="00E705A1">
              <w:rPr>
                <w:rFonts w:ascii="Times New Roman" w:hAnsi="Times New Roman" w:cs="Times New Roman"/>
                <w:sz w:val="20"/>
                <w:szCs w:val="24"/>
                <w:lang w:val="en-US"/>
              </w:rPr>
              <w:t xml:space="preserve"> </w:t>
            </w:r>
          </w:p>
          <w:p w:rsidR="0039053B" w:rsidRPr="00E705A1" w:rsidRDefault="002E2915" w:rsidP="00C330C4">
            <w:pPr>
              <w:pStyle w:val="a5"/>
              <w:jc w:val="both"/>
              <w:rPr>
                <w:rFonts w:ascii="Times New Roman" w:hAnsi="Times New Roman" w:cs="Times New Roman"/>
                <w:color w:val="000000" w:themeColor="text1"/>
                <w:sz w:val="20"/>
                <w:szCs w:val="24"/>
                <w:lang w:val="en-US"/>
              </w:rPr>
            </w:pPr>
            <w:hyperlink r:id="rId8" w:history="1">
              <w:r w:rsidR="0039053B" w:rsidRPr="00E705A1">
                <w:rPr>
                  <w:rStyle w:val="a3"/>
                  <w:rFonts w:ascii="Times New Roman" w:hAnsi="Times New Roman" w:cs="Times New Roman"/>
                  <w:sz w:val="20"/>
                  <w:szCs w:val="24"/>
                  <w:lang w:val="en-US"/>
                </w:rPr>
                <w:t>http://www.e-disclosure.ru/portal/company.aspx?id=2827</w:t>
              </w:r>
            </w:hyperlink>
          </w:p>
        </w:tc>
      </w:tr>
      <w:tr w:rsidR="0039053B" w:rsidRPr="001239DD" w:rsidTr="00C330C4">
        <w:tc>
          <w:tcPr>
            <w:tcW w:w="4395" w:type="dxa"/>
            <w:tcBorders>
              <w:top w:val="single" w:sz="4" w:space="0" w:color="auto"/>
              <w:left w:val="single" w:sz="4" w:space="0" w:color="auto"/>
              <w:bottom w:val="single" w:sz="4" w:space="0" w:color="auto"/>
              <w:right w:val="single" w:sz="4" w:space="0" w:color="auto"/>
            </w:tcBorders>
          </w:tcPr>
          <w:p w:rsidR="0039053B" w:rsidRPr="001239DD" w:rsidRDefault="0039053B" w:rsidP="00C330C4">
            <w:pPr>
              <w:pStyle w:val="a5"/>
              <w:spacing w:line="252" w:lineRule="auto"/>
              <w:rPr>
                <w:rFonts w:ascii="Times New Roman" w:hAnsi="Times New Roman" w:cs="Times New Roman"/>
                <w:sz w:val="24"/>
                <w:szCs w:val="24"/>
                <w:lang w:val="en-US"/>
              </w:rPr>
            </w:pPr>
            <w:r w:rsidRPr="001239DD">
              <w:rPr>
                <w:rFonts w:ascii="Times New Roman" w:hAnsi="Times New Roman" w:cs="Times New Roman"/>
                <w:sz w:val="24"/>
                <w:szCs w:val="24"/>
                <w:lang w:val="en-US"/>
              </w:rPr>
              <w:t xml:space="preserve">1.8. </w:t>
            </w:r>
            <w:r>
              <w:rPr>
                <w:rFonts w:ascii="Times New Roman" w:hAnsi="Times New Roman" w:cs="Times New Roman"/>
                <w:sz w:val="24"/>
                <w:szCs w:val="24"/>
                <w:lang w:val="en-US"/>
              </w:rPr>
              <w:t>Date of the event (material fact) that is disclosed in the statement (if applicable)</w:t>
            </w:r>
          </w:p>
        </w:tc>
        <w:tc>
          <w:tcPr>
            <w:tcW w:w="5103" w:type="dxa"/>
            <w:tcBorders>
              <w:top w:val="single" w:sz="4" w:space="0" w:color="auto"/>
              <w:left w:val="single" w:sz="4" w:space="0" w:color="auto"/>
              <w:bottom w:val="single" w:sz="4" w:space="0" w:color="auto"/>
              <w:right w:val="single" w:sz="4" w:space="0" w:color="auto"/>
            </w:tcBorders>
          </w:tcPr>
          <w:p w:rsidR="0039053B" w:rsidRPr="001239DD" w:rsidRDefault="00D70BB8" w:rsidP="00C330C4">
            <w:pPr>
              <w:pStyle w:val="a5"/>
              <w:jc w:val="both"/>
              <w:rPr>
                <w:rFonts w:ascii="Times New Roman" w:hAnsi="Times New Roman" w:cs="Times New Roman"/>
                <w:sz w:val="24"/>
                <w:lang w:val="en-US"/>
              </w:rPr>
            </w:pPr>
            <w:r>
              <w:rPr>
                <w:rFonts w:ascii="Times New Roman" w:hAnsi="Times New Roman" w:cs="Times New Roman"/>
                <w:sz w:val="24"/>
              </w:rPr>
              <w:t>1</w:t>
            </w:r>
            <w:r w:rsidR="00B912EE">
              <w:rPr>
                <w:rFonts w:ascii="Times New Roman" w:hAnsi="Times New Roman" w:cs="Times New Roman"/>
                <w:sz w:val="24"/>
              </w:rPr>
              <w:t>9</w:t>
            </w:r>
            <w:r>
              <w:rPr>
                <w:rFonts w:ascii="Times New Roman" w:hAnsi="Times New Roman" w:cs="Times New Roman"/>
                <w:sz w:val="24"/>
                <w:lang w:val="en-US"/>
              </w:rPr>
              <w:t>.12.</w:t>
            </w:r>
            <w:r w:rsidR="0039053B" w:rsidRPr="001239DD">
              <w:rPr>
                <w:rFonts w:ascii="Times New Roman" w:hAnsi="Times New Roman" w:cs="Times New Roman"/>
                <w:sz w:val="24"/>
                <w:lang w:val="en-US"/>
              </w:rPr>
              <w:t>2018</w:t>
            </w:r>
          </w:p>
        </w:tc>
      </w:tr>
      <w:tr w:rsidR="0039053B" w:rsidRPr="001239DD" w:rsidTr="00C330C4">
        <w:tc>
          <w:tcPr>
            <w:tcW w:w="9498" w:type="dxa"/>
            <w:gridSpan w:val="2"/>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widowControl w:val="0"/>
              <w:shd w:val="clear" w:color="auto" w:fill="FFFFFF"/>
              <w:tabs>
                <w:tab w:val="left" w:pos="432"/>
              </w:tabs>
              <w:adjustRightInd w:val="0"/>
              <w:jc w:val="center"/>
              <w:rPr>
                <w:b/>
                <w:bCs/>
                <w:color w:val="000000" w:themeColor="text1"/>
                <w:lang w:val="en-US" w:eastAsia="en-US"/>
              </w:rPr>
            </w:pPr>
            <w:r w:rsidRPr="00BB7936">
              <w:rPr>
                <w:color w:val="000000" w:themeColor="text1"/>
                <w:lang w:val="en-US" w:eastAsia="en-US"/>
              </w:rPr>
              <w:t>2. Statement content</w:t>
            </w:r>
          </w:p>
        </w:tc>
      </w:tr>
      <w:tr w:rsidR="0039053B" w:rsidRPr="00BB7936" w:rsidTr="00C330C4">
        <w:trPr>
          <w:trHeight w:val="1425"/>
        </w:trPr>
        <w:tc>
          <w:tcPr>
            <w:tcW w:w="9498" w:type="dxa"/>
            <w:gridSpan w:val="2"/>
            <w:tcBorders>
              <w:top w:val="single" w:sz="4" w:space="0" w:color="auto"/>
              <w:left w:val="single" w:sz="4" w:space="0" w:color="auto"/>
              <w:bottom w:val="single" w:sz="4" w:space="0" w:color="auto"/>
              <w:right w:val="single" w:sz="4" w:space="0" w:color="auto"/>
            </w:tcBorders>
          </w:tcPr>
          <w:p w:rsidR="0039053B" w:rsidRPr="00BB7936" w:rsidRDefault="0039053B" w:rsidP="00C330C4">
            <w:pPr>
              <w:tabs>
                <w:tab w:val="left" w:pos="284"/>
              </w:tabs>
              <w:jc w:val="both"/>
              <w:rPr>
                <w:b/>
                <w:color w:val="000000" w:themeColor="text1"/>
                <w:lang w:val="en-US" w:eastAsia="en-US"/>
              </w:rPr>
            </w:pPr>
            <w:r w:rsidRPr="00BB7936">
              <w:rPr>
                <w:b/>
                <w:color w:val="000000" w:themeColor="text1"/>
                <w:lang w:val="en-US" w:eastAsia="en-US"/>
              </w:rPr>
              <w:t>2.1 Quorum of meeting of the issuer’s BoD and the results of voting on the proposed decisions:</w:t>
            </w:r>
          </w:p>
          <w:p w:rsidR="0039053B" w:rsidRPr="00BB7936" w:rsidRDefault="0039053B" w:rsidP="00C330C4">
            <w:pPr>
              <w:widowControl w:val="0"/>
              <w:jc w:val="both"/>
              <w:rPr>
                <w:color w:val="000000" w:themeColor="text1"/>
                <w:lang w:val="en-US" w:eastAsia="en-US"/>
              </w:rPr>
            </w:pPr>
            <w:r w:rsidRPr="00BB7936">
              <w:rPr>
                <w:color w:val="000000" w:themeColor="text1"/>
                <w:lang w:val="en-US" w:eastAsia="en-US"/>
              </w:rPr>
              <w:t>Number of the BoD members: 11 members</w:t>
            </w:r>
          </w:p>
          <w:p w:rsidR="0039053B" w:rsidRPr="00BB7936" w:rsidRDefault="0039053B" w:rsidP="00C330C4">
            <w:pPr>
              <w:tabs>
                <w:tab w:val="left" w:pos="284"/>
              </w:tabs>
              <w:jc w:val="both"/>
              <w:rPr>
                <w:color w:val="000000" w:themeColor="text1"/>
                <w:lang w:val="en-US" w:eastAsia="en-US"/>
              </w:rPr>
            </w:pPr>
            <w:r w:rsidRPr="00BB7936">
              <w:rPr>
                <w:color w:val="000000" w:themeColor="text1"/>
                <w:lang w:val="en-US" w:eastAsia="en-US"/>
              </w:rPr>
              <w:t>Members participated in the meeting: 11 members</w:t>
            </w:r>
          </w:p>
          <w:p w:rsidR="0039053B" w:rsidRPr="00BB7936" w:rsidRDefault="0039053B" w:rsidP="00C330C4">
            <w:pPr>
              <w:tabs>
                <w:tab w:val="left" w:pos="284"/>
              </w:tabs>
              <w:jc w:val="both"/>
              <w:rPr>
                <w:color w:val="000000" w:themeColor="text1"/>
                <w:lang w:val="en-US" w:eastAsia="en-US"/>
              </w:rPr>
            </w:pPr>
            <w:r w:rsidRPr="00BB7936">
              <w:rPr>
                <w:color w:val="000000" w:themeColor="text1"/>
                <w:lang w:val="en-US" w:eastAsia="en-US"/>
              </w:rPr>
              <w:t>Quorum necessary for holding the meeting of Kubanenergo PJSC Board of Directors is present.</w:t>
            </w:r>
          </w:p>
          <w:p w:rsidR="0039053B" w:rsidRPr="00BB7936" w:rsidRDefault="0039053B" w:rsidP="00C330C4">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Voting results:</w:t>
            </w:r>
          </w:p>
          <w:tbl>
            <w:tblPr>
              <w:tblStyle w:val="a6"/>
              <w:tblW w:w="0" w:type="auto"/>
              <w:jc w:val="center"/>
              <w:tblInd w:w="0" w:type="dxa"/>
              <w:tblLook w:val="04A0" w:firstRow="1" w:lastRow="0" w:firstColumn="1" w:lastColumn="0" w:noHBand="0" w:noVBand="1"/>
            </w:tblPr>
            <w:tblGrid>
              <w:gridCol w:w="1872"/>
              <w:gridCol w:w="2410"/>
              <w:gridCol w:w="1843"/>
              <w:gridCol w:w="2268"/>
            </w:tblGrid>
            <w:tr w:rsidR="0039053B" w:rsidRPr="00BB7936" w:rsidTr="00AC3038">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Votes</w:t>
                  </w:r>
                </w:p>
              </w:tc>
            </w:tr>
            <w:tr w:rsidR="0039053B" w:rsidRPr="00BB7936" w:rsidTr="00AC30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053B" w:rsidRPr="00BB7936" w:rsidRDefault="0039053B" w:rsidP="00C330C4">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center"/>
                    <w:rPr>
                      <w:rFonts w:ascii="Times New Roman" w:hAnsi="Times New Roman" w:cs="Times New Roman"/>
                      <w:b/>
                      <w:color w:val="000000" w:themeColor="text1"/>
                      <w:sz w:val="24"/>
                      <w:szCs w:val="24"/>
                      <w:lang w:val="en-US"/>
                    </w:rPr>
                  </w:pPr>
                  <w:r w:rsidRPr="00BB7936">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ABSTAINED</w:t>
                  </w:r>
                </w:p>
              </w:tc>
            </w:tr>
            <w:tr w:rsidR="0039053B"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39053B" w:rsidRPr="00BB7936" w:rsidRDefault="0039053B"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9053B" w:rsidRPr="00BB7936" w:rsidRDefault="0039053B" w:rsidP="00C330C4">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39053B" w:rsidRPr="00BB7936" w:rsidRDefault="0039053B"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39053B" w:rsidRPr="00BB7936" w:rsidRDefault="0039053B" w:rsidP="00C330C4">
                  <w:pPr>
                    <w:pStyle w:val="a5"/>
                    <w:jc w:val="center"/>
                    <w:rPr>
                      <w:rFonts w:ascii="Times New Roman" w:hAnsi="Times New Roman" w:cs="Times New Roman"/>
                      <w:b/>
                      <w:sz w:val="24"/>
                      <w:szCs w:val="24"/>
                    </w:rPr>
                  </w:pPr>
                </w:p>
              </w:tc>
            </w:tr>
            <w:tr w:rsidR="0039053B"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39053B" w:rsidRPr="00BB7936" w:rsidRDefault="0039053B"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39053B" w:rsidRPr="00BB7936" w:rsidRDefault="0039053B" w:rsidP="00C330C4">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39053B" w:rsidRPr="00BB7936" w:rsidRDefault="0039053B"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39053B" w:rsidRPr="00BB7936" w:rsidRDefault="0039053B"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r w:rsidR="00B912EE"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912EE" w:rsidRDefault="00B912EE" w:rsidP="00C330C4">
                  <w:pPr>
                    <w:jc w:val="center"/>
                  </w:pPr>
                  <w:r w:rsidRPr="00B16BA9">
                    <w:rPr>
                      <w:b/>
                    </w:rPr>
                    <w:t>11</w:t>
                  </w:r>
                </w:p>
              </w:tc>
              <w:tc>
                <w:tcPr>
                  <w:tcW w:w="1843"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912EE" w:rsidRPr="00BB7936" w:rsidRDefault="00B912EE" w:rsidP="00C330C4">
                  <w:pPr>
                    <w:pStyle w:val="a5"/>
                    <w:jc w:val="center"/>
                    <w:rPr>
                      <w:rFonts w:ascii="Times New Roman" w:hAnsi="Times New Roman" w:cs="Times New Roman"/>
                      <w:b/>
                      <w:sz w:val="24"/>
                      <w:szCs w:val="24"/>
                    </w:rPr>
                  </w:pPr>
                </w:p>
              </w:tc>
            </w:tr>
          </w:tbl>
          <w:p w:rsidR="0039053B" w:rsidRPr="00BB7936" w:rsidRDefault="0039053B" w:rsidP="00C330C4">
            <w:pPr>
              <w:autoSpaceDE/>
              <w:rPr>
                <w:rFonts w:eastAsiaTheme="minorHAnsi"/>
                <w:lang w:val="en-US" w:eastAsia="en-US"/>
              </w:rPr>
            </w:pPr>
          </w:p>
        </w:tc>
      </w:tr>
      <w:tr w:rsidR="0039053B" w:rsidRPr="00B912EE" w:rsidTr="00C330C4">
        <w:tc>
          <w:tcPr>
            <w:tcW w:w="9498" w:type="dxa"/>
            <w:gridSpan w:val="2"/>
            <w:tcBorders>
              <w:top w:val="single" w:sz="4" w:space="0" w:color="auto"/>
              <w:left w:val="single" w:sz="4" w:space="0" w:color="auto"/>
              <w:bottom w:val="single" w:sz="4" w:space="0" w:color="auto"/>
              <w:right w:val="single" w:sz="4" w:space="0" w:color="auto"/>
            </w:tcBorders>
            <w:hideMark/>
          </w:tcPr>
          <w:p w:rsidR="0039053B" w:rsidRPr="00B912EE" w:rsidRDefault="0039053B" w:rsidP="00C330C4">
            <w:pPr>
              <w:jc w:val="center"/>
              <w:rPr>
                <w:b/>
                <w:color w:val="000000" w:themeColor="text1"/>
                <w:lang w:val="en-US" w:eastAsia="en-US"/>
              </w:rPr>
            </w:pPr>
            <w:r w:rsidRPr="00BB7936">
              <w:rPr>
                <w:b/>
                <w:color w:val="000000" w:themeColor="text1"/>
                <w:lang w:val="en-US" w:eastAsia="en-US"/>
              </w:rPr>
              <w:t xml:space="preserve">Disclosure of insider information </w:t>
            </w:r>
            <w:r w:rsidR="0013311E">
              <w:rPr>
                <w:b/>
                <w:color w:val="000000" w:themeColor="text1"/>
                <w:lang w:val="en-US" w:eastAsia="en-US"/>
              </w:rPr>
              <w:t xml:space="preserve">/ Approval of </w:t>
            </w:r>
            <w:r w:rsidR="00B912EE">
              <w:rPr>
                <w:b/>
                <w:color w:val="000000" w:themeColor="text1"/>
                <w:lang w:val="en-US" w:eastAsia="en-US"/>
              </w:rPr>
              <w:t>the issuer’s internal documents</w:t>
            </w:r>
          </w:p>
          <w:p w:rsidR="0039053B" w:rsidRPr="00BB7936" w:rsidRDefault="0039053B" w:rsidP="00C330C4">
            <w:pPr>
              <w:jc w:val="both"/>
              <w:rPr>
                <w:b/>
                <w:color w:val="000000"/>
                <w:lang w:val="en-US" w:eastAsia="en-US"/>
              </w:rPr>
            </w:pPr>
            <w:r w:rsidRPr="00BB7936">
              <w:rPr>
                <w:b/>
                <w:color w:val="000000" w:themeColor="text1"/>
                <w:lang w:val="en-US" w:eastAsia="en-US"/>
              </w:rPr>
              <w:t>Item No. 1 “</w:t>
            </w:r>
            <w:r w:rsidR="00B912EE" w:rsidRPr="00D66D72">
              <w:rPr>
                <w:b/>
                <w:lang w:val="en-US" w:eastAsia="en-US"/>
              </w:rPr>
              <w:t>Approval of the Policy on Information Technologies, Automation and Telecommunications</w:t>
            </w:r>
            <w:r w:rsidRPr="00BB7936">
              <w:rPr>
                <w:b/>
                <w:color w:val="000000" w:themeColor="text1"/>
                <w:lang w:val="en-US" w:eastAsia="en-US"/>
              </w:rPr>
              <w:t>”</w:t>
            </w:r>
          </w:p>
        </w:tc>
      </w:tr>
      <w:tr w:rsidR="0039053B" w:rsidRPr="00B912EE" w:rsidTr="00C330C4">
        <w:tc>
          <w:tcPr>
            <w:tcW w:w="9498" w:type="dxa"/>
            <w:gridSpan w:val="2"/>
            <w:tcBorders>
              <w:top w:val="single" w:sz="4" w:space="0" w:color="auto"/>
              <w:left w:val="single" w:sz="4" w:space="0" w:color="auto"/>
              <w:bottom w:val="single" w:sz="4" w:space="0" w:color="auto"/>
              <w:right w:val="single" w:sz="4" w:space="0" w:color="auto"/>
            </w:tcBorders>
            <w:hideMark/>
          </w:tcPr>
          <w:p w:rsidR="0039053B" w:rsidRPr="00E705A1" w:rsidRDefault="0039053B" w:rsidP="00C330C4">
            <w:pPr>
              <w:jc w:val="both"/>
              <w:rPr>
                <w:color w:val="000000" w:themeColor="text1"/>
                <w:lang w:val="en-US" w:eastAsia="en-US"/>
              </w:rPr>
            </w:pPr>
            <w:r w:rsidRPr="00E705A1">
              <w:rPr>
                <w:color w:val="000000" w:themeColor="text1"/>
                <w:lang w:val="en-US" w:eastAsia="en-US"/>
              </w:rPr>
              <w:t xml:space="preserve">2.2.1.  Decision adopted by </w:t>
            </w:r>
            <w:r w:rsidR="002C4AEA" w:rsidRPr="00E705A1">
              <w:rPr>
                <w:color w:val="000000" w:themeColor="text1"/>
                <w:lang w:val="en-US" w:eastAsia="en-US"/>
              </w:rPr>
              <w:t xml:space="preserve">the </w:t>
            </w:r>
            <w:r w:rsidRPr="00E705A1">
              <w:rPr>
                <w:color w:val="000000" w:themeColor="text1"/>
                <w:lang w:val="en-US" w:eastAsia="en-US"/>
              </w:rPr>
              <w:t>issuer’s Board of Directors:</w:t>
            </w:r>
          </w:p>
          <w:p w:rsidR="00E705A1" w:rsidRDefault="00E705A1" w:rsidP="00C330C4">
            <w:pPr>
              <w:jc w:val="both"/>
              <w:rPr>
                <w:color w:val="222222"/>
                <w:shd w:val="clear" w:color="auto" w:fill="FFFFFF"/>
                <w:lang w:val="en-US"/>
              </w:rPr>
            </w:pPr>
            <w:r w:rsidRPr="00E705A1">
              <w:rPr>
                <w:lang w:val="en-US" w:eastAsia="en-US"/>
              </w:rPr>
              <w:t xml:space="preserve">1. To approve </w:t>
            </w:r>
            <w:r w:rsidRPr="00E705A1">
              <w:rPr>
                <w:lang w:val="en-US" w:eastAsia="en-US"/>
              </w:rPr>
              <w:t>the Policy on Information Technologies, Automation and Telecommunications</w:t>
            </w:r>
            <w:r>
              <w:rPr>
                <w:lang w:val="en-US" w:eastAsia="en-US"/>
              </w:rPr>
              <w:t xml:space="preserve"> as the Company’s internal document, </w:t>
            </w:r>
            <w:r>
              <w:rPr>
                <w:color w:val="222222"/>
                <w:shd w:val="clear" w:color="auto" w:fill="FFFFFF"/>
                <w:lang w:val="en-US"/>
              </w:rPr>
              <w:t>as specified in Annex</w:t>
            </w:r>
            <w:r>
              <w:rPr>
                <w:color w:val="222222"/>
                <w:shd w:val="clear" w:color="auto" w:fill="FFFFFF"/>
                <w:lang w:val="en-US"/>
              </w:rPr>
              <w:t xml:space="preserve"> 1</w:t>
            </w:r>
            <w:r>
              <w:rPr>
                <w:color w:val="222222"/>
                <w:shd w:val="clear" w:color="auto" w:fill="FFFFFF"/>
                <w:lang w:val="en-US"/>
              </w:rPr>
              <w:t xml:space="preserve"> to this resolution of the Company’s Board of Directors.</w:t>
            </w:r>
          </w:p>
          <w:p w:rsidR="000A5A6F" w:rsidRPr="00E705A1" w:rsidRDefault="00E705A1" w:rsidP="00C330C4">
            <w:pPr>
              <w:autoSpaceDE/>
              <w:jc w:val="both"/>
              <w:rPr>
                <w:lang w:val="en-US" w:eastAsia="en-US"/>
              </w:rPr>
            </w:pPr>
            <w:r>
              <w:rPr>
                <w:lang w:val="en-US" w:eastAsia="en-US"/>
              </w:rPr>
              <w:t>2. To consider as no longer valid the decision of the Company’s Board of Directors of 20.06.2012 (minutes No.138/2012 of 22.06.2012).</w:t>
            </w:r>
          </w:p>
        </w:tc>
      </w:tr>
      <w:tr w:rsidR="0039053B"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39053B" w:rsidRPr="0020532A" w:rsidRDefault="0039053B" w:rsidP="00C330C4">
            <w:pPr>
              <w:jc w:val="both"/>
              <w:rPr>
                <w:b/>
                <w:color w:val="000000" w:themeColor="text1"/>
                <w:lang w:val="en-US" w:eastAsia="en-US"/>
              </w:rPr>
            </w:pPr>
            <w:r w:rsidRPr="0020532A">
              <w:rPr>
                <w:b/>
                <w:color w:val="000000" w:themeColor="text1"/>
                <w:lang w:val="en-US" w:eastAsia="en-US"/>
              </w:rPr>
              <w:lastRenderedPageBreak/>
              <w:t xml:space="preserve">Disclosure of insider information </w:t>
            </w:r>
            <w:r w:rsidR="00E705A1">
              <w:rPr>
                <w:b/>
                <w:color w:val="000000" w:themeColor="text1"/>
                <w:lang w:val="en-US" w:eastAsia="en-US"/>
              </w:rPr>
              <w:t xml:space="preserve">/ </w:t>
            </w:r>
            <w:r w:rsidR="00E961CC" w:rsidRPr="00E961CC">
              <w:rPr>
                <w:b/>
                <w:color w:val="000000" w:themeColor="text1"/>
                <w:lang w:val="en-US" w:eastAsia="en-US"/>
              </w:rPr>
              <w:t>establishment of the executive body of the issuer and early termination (suspension) of its powers, including the powers of the managing organization or manager</w:t>
            </w:r>
          </w:p>
          <w:p w:rsidR="0039053B" w:rsidRPr="0020532A" w:rsidRDefault="0039053B" w:rsidP="00C330C4">
            <w:pPr>
              <w:jc w:val="both"/>
              <w:rPr>
                <w:b/>
                <w:color w:val="000000" w:themeColor="text1"/>
                <w:lang w:val="en-US" w:eastAsia="en-US"/>
              </w:rPr>
            </w:pPr>
            <w:r w:rsidRPr="0020532A">
              <w:rPr>
                <w:b/>
                <w:color w:val="000000" w:themeColor="text1"/>
                <w:lang w:val="en-US" w:eastAsia="en-US"/>
              </w:rPr>
              <w:t>Item No. 2 “</w:t>
            </w:r>
            <w:r w:rsidR="00B912EE" w:rsidRPr="00D66D72">
              <w:rPr>
                <w:b/>
                <w:lang w:val="en-US" w:eastAsia="en-US"/>
              </w:rPr>
              <w:t>Early resignation and appointment of new members of the Company’s Management Board</w:t>
            </w:r>
            <w:r w:rsidRPr="0020532A">
              <w:rPr>
                <w:b/>
                <w:lang w:val="en-US" w:eastAsia="en-US"/>
              </w:rPr>
              <w:t>”</w:t>
            </w:r>
          </w:p>
        </w:tc>
      </w:tr>
      <w:tr w:rsidR="0039053B"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39053B" w:rsidRPr="003574D3" w:rsidRDefault="0039053B" w:rsidP="00C330C4">
            <w:pPr>
              <w:jc w:val="both"/>
              <w:rPr>
                <w:color w:val="000000" w:themeColor="text1"/>
                <w:lang w:val="en-US" w:eastAsia="en-US"/>
              </w:rPr>
            </w:pPr>
            <w:r w:rsidRPr="003574D3">
              <w:rPr>
                <w:color w:val="000000" w:themeColor="text1"/>
                <w:lang w:val="en-US" w:eastAsia="en-US"/>
              </w:rPr>
              <w:t xml:space="preserve">2.2.2.  Decision adopted by </w:t>
            </w:r>
            <w:r w:rsidR="002C4AEA">
              <w:rPr>
                <w:color w:val="000000" w:themeColor="text1"/>
                <w:lang w:val="en-US" w:eastAsia="en-US"/>
              </w:rPr>
              <w:t xml:space="preserve">the </w:t>
            </w:r>
            <w:r w:rsidRPr="003574D3">
              <w:rPr>
                <w:color w:val="000000" w:themeColor="text1"/>
                <w:lang w:val="en-US" w:eastAsia="en-US"/>
              </w:rPr>
              <w:t>issuer’s Board of Directors:</w:t>
            </w:r>
          </w:p>
          <w:p w:rsidR="0039053B" w:rsidRDefault="00E961CC" w:rsidP="00C330C4">
            <w:pPr>
              <w:jc w:val="both"/>
              <w:rPr>
                <w:color w:val="222222"/>
                <w:shd w:val="clear" w:color="auto" w:fill="FFFFFF"/>
                <w:lang w:val="en-US"/>
              </w:rPr>
            </w:pPr>
            <w:r>
              <w:rPr>
                <w:color w:val="222222"/>
                <w:shd w:val="clear" w:color="auto" w:fill="FFFFFF"/>
                <w:lang w:val="en-US"/>
              </w:rPr>
              <w:t>1. To terminate powers of the following members of the Company’s Management Board:</w:t>
            </w:r>
          </w:p>
          <w:p w:rsidR="00E961CC" w:rsidRDefault="00E961CC" w:rsidP="00C330C4">
            <w:pPr>
              <w:jc w:val="both"/>
              <w:rPr>
                <w:color w:val="222222"/>
                <w:shd w:val="clear" w:color="auto" w:fill="FFFFFF"/>
                <w:lang w:val="en-US"/>
              </w:rPr>
            </w:pPr>
            <w:r>
              <w:rPr>
                <w:color w:val="222222"/>
                <w:shd w:val="clear" w:color="auto" w:fill="FFFFFF"/>
                <w:lang w:val="en-US"/>
              </w:rPr>
              <w:t xml:space="preserve">- </w:t>
            </w:r>
            <w:proofErr w:type="spellStart"/>
            <w:r>
              <w:rPr>
                <w:color w:val="222222"/>
                <w:shd w:val="clear" w:color="auto" w:fill="FFFFFF"/>
                <w:lang w:val="en-US"/>
              </w:rPr>
              <w:t>Ivanova</w:t>
            </w:r>
            <w:proofErr w:type="spellEnd"/>
            <w:r>
              <w:rPr>
                <w:color w:val="222222"/>
                <w:shd w:val="clear" w:color="auto" w:fill="FFFFFF"/>
                <w:lang w:val="en-US"/>
              </w:rPr>
              <w:t xml:space="preserve"> Irina Viktorovna</w:t>
            </w:r>
          </w:p>
          <w:p w:rsidR="00E961CC" w:rsidRDefault="00E961CC" w:rsidP="00C330C4">
            <w:pPr>
              <w:jc w:val="both"/>
              <w:rPr>
                <w:color w:val="222222"/>
                <w:shd w:val="clear" w:color="auto" w:fill="FFFFFF"/>
                <w:lang w:val="en-US"/>
              </w:rPr>
            </w:pPr>
            <w:r>
              <w:rPr>
                <w:color w:val="222222"/>
                <w:shd w:val="clear" w:color="auto" w:fill="FFFFFF"/>
                <w:lang w:val="en-US"/>
              </w:rPr>
              <w:t>-</w:t>
            </w:r>
            <w:proofErr w:type="spellStart"/>
            <w:r>
              <w:rPr>
                <w:color w:val="222222"/>
                <w:shd w:val="clear" w:color="auto" w:fill="FFFFFF"/>
                <w:lang w:val="en-US"/>
              </w:rPr>
              <w:t>Mikhailov</w:t>
            </w:r>
            <w:proofErr w:type="spellEnd"/>
            <w:r>
              <w:rPr>
                <w:color w:val="222222"/>
                <w:shd w:val="clear" w:color="auto" w:fill="FFFFFF"/>
                <w:lang w:val="en-US"/>
              </w:rPr>
              <w:t xml:space="preserve"> Vladimir </w:t>
            </w:r>
            <w:proofErr w:type="spellStart"/>
            <w:r>
              <w:rPr>
                <w:color w:val="222222"/>
                <w:shd w:val="clear" w:color="auto" w:fill="FFFFFF"/>
                <w:lang w:val="en-US"/>
              </w:rPr>
              <w:t>Alexandrovich</w:t>
            </w:r>
            <w:proofErr w:type="spellEnd"/>
          </w:p>
          <w:p w:rsidR="00E961CC" w:rsidRDefault="00E961CC" w:rsidP="00C330C4">
            <w:pPr>
              <w:jc w:val="both"/>
              <w:rPr>
                <w:color w:val="222222"/>
                <w:shd w:val="clear" w:color="auto" w:fill="FFFFFF"/>
                <w:lang w:val="en-US"/>
              </w:rPr>
            </w:pPr>
            <w:r>
              <w:rPr>
                <w:color w:val="222222"/>
                <w:shd w:val="clear" w:color="auto" w:fill="FFFFFF"/>
                <w:lang w:val="en-US"/>
              </w:rPr>
              <w:t xml:space="preserve">2. To elect the following persons to the </w:t>
            </w:r>
            <w:r>
              <w:rPr>
                <w:color w:val="222222"/>
                <w:shd w:val="clear" w:color="auto" w:fill="FFFFFF"/>
                <w:lang w:val="en-US"/>
              </w:rPr>
              <w:t>Company’s Management Board</w:t>
            </w:r>
            <w:r>
              <w:rPr>
                <w:color w:val="222222"/>
                <w:shd w:val="clear" w:color="auto" w:fill="FFFFFF"/>
                <w:lang w:val="en-US"/>
              </w:rPr>
              <w:t>:</w:t>
            </w:r>
          </w:p>
          <w:p w:rsidR="00E961CC" w:rsidRDefault="00E961CC" w:rsidP="00C330C4">
            <w:pPr>
              <w:jc w:val="both"/>
              <w:rPr>
                <w:color w:val="222222"/>
                <w:shd w:val="clear" w:color="auto" w:fill="FFFFFF"/>
                <w:lang w:val="en-US"/>
              </w:rPr>
            </w:pPr>
            <w:r>
              <w:rPr>
                <w:color w:val="222222"/>
                <w:shd w:val="clear" w:color="auto" w:fill="FFFFFF"/>
                <w:lang w:val="en-US"/>
              </w:rPr>
              <w:t>-</w:t>
            </w:r>
            <w:proofErr w:type="spellStart"/>
            <w:r>
              <w:rPr>
                <w:color w:val="222222"/>
                <w:shd w:val="clear" w:color="auto" w:fill="FFFFFF"/>
                <w:lang w:val="en-US"/>
              </w:rPr>
              <w:t>Khazikova</w:t>
            </w:r>
            <w:proofErr w:type="spellEnd"/>
            <w:r>
              <w:rPr>
                <w:color w:val="222222"/>
                <w:shd w:val="clear" w:color="auto" w:fill="FFFFFF"/>
                <w:lang w:val="en-US"/>
              </w:rPr>
              <w:t xml:space="preserve"> </w:t>
            </w:r>
            <w:proofErr w:type="spellStart"/>
            <w:r>
              <w:rPr>
                <w:color w:val="222222"/>
                <w:shd w:val="clear" w:color="auto" w:fill="FFFFFF"/>
                <w:lang w:val="en-US"/>
              </w:rPr>
              <w:t>Zanda</w:t>
            </w:r>
            <w:proofErr w:type="spellEnd"/>
            <w:r>
              <w:rPr>
                <w:color w:val="222222"/>
                <w:shd w:val="clear" w:color="auto" w:fill="FFFFFF"/>
                <w:lang w:val="en-US"/>
              </w:rPr>
              <w:t xml:space="preserve"> Ivanovna, Deputy Director General for Corporate Governance</w:t>
            </w:r>
          </w:p>
          <w:p w:rsidR="00E961CC" w:rsidRDefault="00E961CC" w:rsidP="00C330C4">
            <w:pPr>
              <w:jc w:val="both"/>
              <w:rPr>
                <w:color w:val="222222"/>
                <w:shd w:val="clear" w:color="auto" w:fill="FFFFFF"/>
                <w:lang w:val="en-US"/>
              </w:rPr>
            </w:pPr>
            <w:r>
              <w:rPr>
                <w:color w:val="222222"/>
                <w:shd w:val="clear" w:color="auto" w:fill="FFFFFF"/>
                <w:lang w:val="en-US"/>
              </w:rPr>
              <w:t>-</w:t>
            </w:r>
            <w:proofErr w:type="spellStart"/>
            <w:r>
              <w:rPr>
                <w:color w:val="222222"/>
                <w:shd w:val="clear" w:color="auto" w:fill="FFFFFF"/>
                <w:lang w:val="en-US"/>
              </w:rPr>
              <w:t>Nischyuk</w:t>
            </w:r>
            <w:proofErr w:type="spellEnd"/>
            <w:r>
              <w:rPr>
                <w:color w:val="222222"/>
                <w:shd w:val="clear" w:color="auto" w:fill="FFFFFF"/>
                <w:lang w:val="en-US"/>
              </w:rPr>
              <w:t xml:space="preserve"> Oleg </w:t>
            </w:r>
            <w:proofErr w:type="spellStart"/>
            <w:r>
              <w:rPr>
                <w:color w:val="222222"/>
                <w:shd w:val="clear" w:color="auto" w:fill="FFFFFF"/>
                <w:lang w:val="en-US"/>
              </w:rPr>
              <w:t>Fyodorovich</w:t>
            </w:r>
            <w:proofErr w:type="spellEnd"/>
            <w:r>
              <w:rPr>
                <w:color w:val="222222"/>
                <w:shd w:val="clear" w:color="auto" w:fill="FFFFFF"/>
                <w:lang w:val="en-US"/>
              </w:rPr>
              <w:t xml:space="preserve">, </w:t>
            </w:r>
            <w:r>
              <w:rPr>
                <w:color w:val="222222"/>
                <w:shd w:val="clear" w:color="auto" w:fill="FFFFFF"/>
                <w:lang w:val="en-US"/>
              </w:rPr>
              <w:t>Deputy Director General for</w:t>
            </w:r>
            <w:r>
              <w:rPr>
                <w:color w:val="222222"/>
                <w:shd w:val="clear" w:color="auto" w:fill="FFFFFF"/>
                <w:lang w:val="en-US"/>
              </w:rPr>
              <w:t xml:space="preserve"> Implementation of Services </w:t>
            </w:r>
          </w:p>
          <w:p w:rsidR="00E961CC" w:rsidRDefault="00E961CC" w:rsidP="00C330C4">
            <w:pPr>
              <w:jc w:val="both"/>
              <w:rPr>
                <w:color w:val="222222"/>
                <w:shd w:val="clear" w:color="auto" w:fill="FFFFFF"/>
                <w:lang w:val="en-US"/>
              </w:rPr>
            </w:pPr>
          </w:p>
          <w:p w:rsidR="00E961CC" w:rsidRDefault="00E961CC" w:rsidP="00C330C4">
            <w:pPr>
              <w:jc w:val="both"/>
              <w:rPr>
                <w:color w:val="222222"/>
                <w:shd w:val="clear" w:color="auto" w:fill="FFFFFF"/>
                <w:lang w:val="en-US"/>
              </w:rPr>
            </w:pPr>
            <w:r>
              <w:rPr>
                <w:color w:val="222222"/>
                <w:shd w:val="clear" w:color="auto" w:fill="FFFFFF"/>
                <w:lang w:val="en-US"/>
              </w:rPr>
              <w:t xml:space="preserve">Information on the elected members of the Board of Directors: </w:t>
            </w:r>
          </w:p>
          <w:p w:rsidR="00EA6243" w:rsidRDefault="00E961CC" w:rsidP="00C330C4">
            <w:pPr>
              <w:jc w:val="both"/>
              <w:rPr>
                <w:color w:val="222222"/>
                <w:shd w:val="clear" w:color="auto" w:fill="FFFFFF"/>
                <w:lang w:val="en-US"/>
              </w:rPr>
            </w:pPr>
            <w:proofErr w:type="spellStart"/>
            <w:r>
              <w:rPr>
                <w:color w:val="222222"/>
                <w:shd w:val="clear" w:color="auto" w:fill="FFFFFF"/>
                <w:lang w:val="en-US"/>
              </w:rPr>
              <w:t>Khazikova</w:t>
            </w:r>
            <w:proofErr w:type="spellEnd"/>
            <w:r>
              <w:rPr>
                <w:color w:val="222222"/>
                <w:shd w:val="clear" w:color="auto" w:fill="FFFFFF"/>
                <w:lang w:val="en-US"/>
              </w:rPr>
              <w:t xml:space="preserve"> </w:t>
            </w:r>
            <w:proofErr w:type="spellStart"/>
            <w:r>
              <w:rPr>
                <w:color w:val="222222"/>
                <w:shd w:val="clear" w:color="auto" w:fill="FFFFFF"/>
                <w:lang w:val="en-US"/>
              </w:rPr>
              <w:t>Zanda</w:t>
            </w:r>
            <w:proofErr w:type="spellEnd"/>
            <w:r>
              <w:rPr>
                <w:color w:val="222222"/>
                <w:shd w:val="clear" w:color="auto" w:fill="FFFFFF"/>
                <w:lang w:val="en-US"/>
              </w:rPr>
              <w:t xml:space="preserve"> Ivanovna</w:t>
            </w:r>
          </w:p>
          <w:p w:rsidR="00E961CC" w:rsidRDefault="00E961CC" w:rsidP="00C330C4">
            <w:pPr>
              <w:jc w:val="both"/>
              <w:rPr>
                <w:color w:val="222222"/>
                <w:shd w:val="clear" w:color="auto" w:fill="FFFFFF"/>
                <w:lang w:val="en-US"/>
              </w:rPr>
            </w:pPr>
            <w:r w:rsidRPr="00E961CC">
              <w:rPr>
                <w:color w:val="222222"/>
                <w:shd w:val="clear" w:color="auto" w:fill="FFFFFF"/>
                <w:lang w:val="en-US"/>
              </w:rPr>
              <w:t>share in the issuer</w:t>
            </w:r>
            <w:r>
              <w:rPr>
                <w:color w:val="222222"/>
                <w:shd w:val="clear" w:color="auto" w:fill="FFFFFF"/>
                <w:lang w:val="en-US"/>
              </w:rPr>
              <w:t>’</w:t>
            </w:r>
            <w:r w:rsidRPr="00E961CC">
              <w:rPr>
                <w:color w:val="222222"/>
                <w:shd w:val="clear" w:color="auto" w:fill="FFFFFF"/>
                <w:lang w:val="en-US"/>
              </w:rPr>
              <w:t xml:space="preserve">s authorized capital: 0.0%, </w:t>
            </w:r>
          </w:p>
          <w:p w:rsidR="00EA6243" w:rsidRDefault="00EA6243" w:rsidP="00C330C4">
            <w:pPr>
              <w:jc w:val="both"/>
              <w:rPr>
                <w:color w:val="222222"/>
                <w:shd w:val="clear" w:color="auto" w:fill="FFFFFF"/>
                <w:lang w:val="en-US"/>
              </w:rPr>
            </w:pPr>
            <w:r>
              <w:rPr>
                <w:color w:val="222222"/>
                <w:shd w:val="clear" w:color="auto" w:fill="FFFFFF"/>
                <w:lang w:val="en-US"/>
              </w:rPr>
              <w:t>ordinary shares of the issuer, which is a joint stock company, owned by the person: 0.0%</w:t>
            </w:r>
          </w:p>
          <w:p w:rsidR="00EA6243" w:rsidRDefault="00EA6243" w:rsidP="00C330C4">
            <w:pPr>
              <w:jc w:val="both"/>
              <w:rPr>
                <w:color w:val="222222"/>
                <w:shd w:val="clear" w:color="auto" w:fill="FFFFFF"/>
                <w:lang w:val="en-US"/>
              </w:rPr>
            </w:pPr>
            <w:proofErr w:type="spellStart"/>
            <w:r>
              <w:rPr>
                <w:color w:val="222222"/>
                <w:shd w:val="clear" w:color="auto" w:fill="FFFFFF"/>
                <w:lang w:val="en-US"/>
              </w:rPr>
              <w:t>Nischyuk</w:t>
            </w:r>
            <w:proofErr w:type="spellEnd"/>
            <w:r>
              <w:rPr>
                <w:color w:val="222222"/>
                <w:shd w:val="clear" w:color="auto" w:fill="FFFFFF"/>
                <w:lang w:val="en-US"/>
              </w:rPr>
              <w:t xml:space="preserve"> Oleg </w:t>
            </w:r>
            <w:proofErr w:type="spellStart"/>
            <w:r>
              <w:rPr>
                <w:color w:val="222222"/>
                <w:shd w:val="clear" w:color="auto" w:fill="FFFFFF"/>
                <w:lang w:val="en-US"/>
              </w:rPr>
              <w:t>Fyodorovich</w:t>
            </w:r>
            <w:proofErr w:type="spellEnd"/>
          </w:p>
          <w:p w:rsidR="00EA6243" w:rsidRDefault="00EA6243" w:rsidP="00C330C4">
            <w:pPr>
              <w:jc w:val="both"/>
              <w:rPr>
                <w:color w:val="222222"/>
                <w:shd w:val="clear" w:color="auto" w:fill="FFFFFF"/>
                <w:lang w:val="en-US"/>
              </w:rPr>
            </w:pPr>
            <w:r w:rsidRPr="00E961CC">
              <w:rPr>
                <w:color w:val="222222"/>
                <w:shd w:val="clear" w:color="auto" w:fill="FFFFFF"/>
                <w:lang w:val="en-US"/>
              </w:rPr>
              <w:t>share in the issuer</w:t>
            </w:r>
            <w:r>
              <w:rPr>
                <w:color w:val="222222"/>
                <w:shd w:val="clear" w:color="auto" w:fill="FFFFFF"/>
                <w:lang w:val="en-US"/>
              </w:rPr>
              <w:t>’</w:t>
            </w:r>
            <w:r w:rsidRPr="00E961CC">
              <w:rPr>
                <w:color w:val="222222"/>
                <w:shd w:val="clear" w:color="auto" w:fill="FFFFFF"/>
                <w:lang w:val="en-US"/>
              </w:rPr>
              <w:t xml:space="preserve">s authorized capital: 0.0%, </w:t>
            </w:r>
          </w:p>
          <w:p w:rsidR="00EA6243" w:rsidRPr="00981F0D" w:rsidRDefault="00EA6243" w:rsidP="00C330C4">
            <w:pPr>
              <w:jc w:val="both"/>
              <w:rPr>
                <w:color w:val="222222"/>
                <w:shd w:val="clear" w:color="auto" w:fill="FFFFFF"/>
                <w:lang w:val="en-US"/>
              </w:rPr>
            </w:pPr>
            <w:r>
              <w:rPr>
                <w:color w:val="222222"/>
                <w:shd w:val="clear" w:color="auto" w:fill="FFFFFF"/>
                <w:lang w:val="en-US"/>
              </w:rPr>
              <w:t>ordinary shares of the issuer, which is a joint stock company, owned by the person: 0.0%</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0532A" w:rsidRDefault="00B912EE" w:rsidP="00C330C4">
            <w:pPr>
              <w:jc w:val="center"/>
              <w:rPr>
                <w:b/>
                <w:color w:val="000000" w:themeColor="text1"/>
                <w:lang w:val="en-US" w:eastAsia="en-US"/>
              </w:rPr>
            </w:pPr>
            <w:r w:rsidRPr="0020532A">
              <w:rPr>
                <w:b/>
                <w:color w:val="000000" w:themeColor="text1"/>
                <w:lang w:val="en-US" w:eastAsia="en-US"/>
              </w:rPr>
              <w:t xml:space="preserve">Disclosure of insider information </w:t>
            </w:r>
          </w:p>
          <w:p w:rsidR="00B912EE" w:rsidRPr="003574D3" w:rsidRDefault="00B912EE" w:rsidP="00C330C4">
            <w:pPr>
              <w:jc w:val="both"/>
              <w:rPr>
                <w:color w:val="000000" w:themeColor="text1"/>
                <w:lang w:val="en-US" w:eastAsia="en-US"/>
              </w:rPr>
            </w:pPr>
            <w:r w:rsidRPr="0020532A">
              <w:rPr>
                <w:b/>
                <w:color w:val="000000" w:themeColor="text1"/>
                <w:lang w:val="en-US" w:eastAsia="en-US"/>
              </w:rPr>
              <w:t>Item No.</w:t>
            </w:r>
            <w:r>
              <w:rPr>
                <w:b/>
                <w:color w:val="000000" w:themeColor="text1"/>
                <w:lang w:val="en-US" w:eastAsia="en-US"/>
              </w:rPr>
              <w:t>3 “</w:t>
            </w:r>
            <w:r w:rsidRPr="00D66D72">
              <w:rPr>
                <w:b/>
                <w:lang w:val="en-US" w:eastAsia="en-US"/>
              </w:rPr>
              <w:t>Discussion of a report on the results of the Business Plan of Kubanenergo PJSC for the first six months of 2018</w:t>
            </w:r>
            <w:r>
              <w:rPr>
                <w:b/>
                <w:color w:val="000000" w:themeColor="text1"/>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6F0C79" w:rsidRDefault="00B912EE" w:rsidP="00C330C4">
            <w:pPr>
              <w:jc w:val="both"/>
              <w:rPr>
                <w:color w:val="000000" w:themeColor="text1"/>
                <w:lang w:val="en-US" w:eastAsia="en-US"/>
              </w:rPr>
            </w:pPr>
            <w:r w:rsidRPr="006F0C79">
              <w:rPr>
                <w:color w:val="000000" w:themeColor="text1"/>
                <w:lang w:val="en-US" w:eastAsia="en-US"/>
              </w:rPr>
              <w:t>2.2.</w:t>
            </w:r>
            <w:r w:rsidRPr="006F0C79">
              <w:rPr>
                <w:color w:val="000000" w:themeColor="text1"/>
                <w:lang w:val="en-US" w:eastAsia="en-US"/>
              </w:rPr>
              <w:t>3</w:t>
            </w:r>
            <w:r w:rsidRPr="006F0C79">
              <w:rPr>
                <w:color w:val="000000" w:themeColor="text1"/>
                <w:lang w:val="en-US" w:eastAsia="en-US"/>
              </w:rPr>
              <w:t>.  Decision adopted by the issuer’s Board of Directors:</w:t>
            </w:r>
          </w:p>
          <w:p w:rsidR="006F0C79" w:rsidRDefault="006F0C79" w:rsidP="00C330C4">
            <w:pPr>
              <w:jc w:val="both"/>
              <w:rPr>
                <w:color w:val="222222"/>
                <w:shd w:val="clear" w:color="auto" w:fill="FFFFFF"/>
                <w:lang w:val="en-US"/>
              </w:rPr>
            </w:pPr>
            <w:r w:rsidRPr="006F0C79">
              <w:rPr>
                <w:color w:val="000000" w:themeColor="text1"/>
                <w:lang w:val="en-US" w:eastAsia="en-US"/>
              </w:rPr>
              <w:t xml:space="preserve">1. To take note of the report on the </w:t>
            </w:r>
            <w:r w:rsidRPr="006F0C79">
              <w:rPr>
                <w:lang w:val="en-US" w:eastAsia="en-US"/>
              </w:rPr>
              <w:t>results of the Business Plan of Kubanenergo PJSC for the first six months of 2018</w:t>
            </w:r>
            <w:r>
              <w:rPr>
                <w:lang w:val="en-US" w:eastAsia="en-US"/>
              </w:rPr>
              <w:t xml:space="preserve">, </w:t>
            </w:r>
            <w:r>
              <w:rPr>
                <w:color w:val="222222"/>
                <w:shd w:val="clear" w:color="auto" w:fill="FFFFFF"/>
                <w:lang w:val="en-US"/>
              </w:rPr>
              <w:t xml:space="preserve">as specified in Annex </w:t>
            </w:r>
            <w:r w:rsidR="004D2155">
              <w:rPr>
                <w:color w:val="222222"/>
                <w:shd w:val="clear" w:color="auto" w:fill="FFFFFF"/>
                <w:lang w:val="en-US"/>
              </w:rPr>
              <w:t>2</w:t>
            </w:r>
            <w:r>
              <w:rPr>
                <w:color w:val="222222"/>
                <w:shd w:val="clear" w:color="auto" w:fill="FFFFFF"/>
                <w:lang w:val="en-US"/>
              </w:rPr>
              <w:t xml:space="preserve"> to this resolution of the Company’s Board of Directors.</w:t>
            </w:r>
          </w:p>
          <w:p w:rsidR="00B912EE" w:rsidRPr="006F0C79" w:rsidRDefault="006F0C79" w:rsidP="00C330C4">
            <w:pPr>
              <w:jc w:val="both"/>
              <w:rPr>
                <w:color w:val="000000" w:themeColor="text1"/>
                <w:lang w:val="en-US" w:eastAsia="en-US"/>
              </w:rPr>
            </w:pPr>
            <w:r>
              <w:rPr>
                <w:lang w:val="en-US" w:eastAsia="en-US"/>
              </w:rPr>
              <w:t xml:space="preserve">2. </w:t>
            </w:r>
            <w:r w:rsidR="004D2155">
              <w:rPr>
                <w:lang w:val="en-US" w:eastAsia="en-US"/>
              </w:rPr>
              <w:t xml:space="preserve">To instruct the Company’s Director General to ensure implementation of additional measures to prevent occurrence of key operational risks in 2018, </w:t>
            </w:r>
            <w:r w:rsidR="004D2155">
              <w:rPr>
                <w:color w:val="222222"/>
                <w:shd w:val="clear" w:color="auto" w:fill="FFFFFF"/>
                <w:lang w:val="en-US"/>
              </w:rPr>
              <w:t xml:space="preserve">as specified in Annex </w:t>
            </w:r>
            <w:r w:rsidR="004D2155">
              <w:rPr>
                <w:color w:val="222222"/>
                <w:shd w:val="clear" w:color="auto" w:fill="FFFFFF"/>
                <w:lang w:val="en-US"/>
              </w:rPr>
              <w:t>3</w:t>
            </w:r>
            <w:r w:rsidR="004D2155">
              <w:rPr>
                <w:color w:val="222222"/>
                <w:shd w:val="clear" w:color="auto" w:fill="FFFFFF"/>
                <w:lang w:val="en-US"/>
              </w:rPr>
              <w:t xml:space="preserve"> to this resolution of the Company’s Board of Directors</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0532A" w:rsidRDefault="00B912EE" w:rsidP="00C330C4">
            <w:pPr>
              <w:jc w:val="center"/>
              <w:rPr>
                <w:b/>
                <w:color w:val="000000" w:themeColor="text1"/>
                <w:lang w:val="en-US" w:eastAsia="en-US"/>
              </w:rPr>
            </w:pPr>
            <w:r w:rsidRPr="0020532A">
              <w:rPr>
                <w:b/>
                <w:color w:val="000000" w:themeColor="text1"/>
                <w:lang w:val="en-US" w:eastAsia="en-US"/>
              </w:rPr>
              <w:t xml:space="preserve">Disclosure of insider information </w:t>
            </w:r>
          </w:p>
          <w:p w:rsidR="00B912EE" w:rsidRPr="003574D3" w:rsidRDefault="00B912EE" w:rsidP="00C330C4">
            <w:pPr>
              <w:jc w:val="both"/>
              <w:rPr>
                <w:color w:val="000000" w:themeColor="text1"/>
                <w:lang w:val="en-US" w:eastAsia="en-US"/>
              </w:rPr>
            </w:pPr>
            <w:r w:rsidRPr="0020532A">
              <w:rPr>
                <w:b/>
                <w:color w:val="000000" w:themeColor="text1"/>
                <w:lang w:val="en-US" w:eastAsia="en-US"/>
              </w:rPr>
              <w:t>Item No.</w:t>
            </w:r>
            <w:r>
              <w:rPr>
                <w:b/>
                <w:color w:val="000000" w:themeColor="text1"/>
                <w:lang w:val="en-US" w:eastAsia="en-US"/>
              </w:rPr>
              <w:t xml:space="preserve"> 4 </w:t>
            </w:r>
            <w:r>
              <w:rPr>
                <w:b/>
                <w:color w:val="000000" w:themeColor="text1"/>
                <w:lang w:val="en-US" w:eastAsia="en-US"/>
              </w:rPr>
              <w:t>“</w:t>
            </w:r>
            <w:r w:rsidRPr="00D66D72">
              <w:rPr>
                <w:b/>
                <w:lang w:val="en-US" w:eastAsia="en-US"/>
              </w:rPr>
              <w:t>Discussion of a report on implementation of the Group’s Business plan consolidated on the principles of RAS and IFRS for the 1</w:t>
            </w:r>
            <w:r w:rsidRPr="00D66D72">
              <w:rPr>
                <w:b/>
                <w:vertAlign w:val="superscript"/>
                <w:lang w:val="en-US" w:eastAsia="en-US"/>
              </w:rPr>
              <w:t>st</w:t>
            </w:r>
            <w:r w:rsidRPr="00D66D72">
              <w:rPr>
                <w:b/>
                <w:lang w:val="en-US" w:eastAsia="en-US"/>
              </w:rPr>
              <w:t xml:space="preserve"> six months of 2018</w:t>
            </w:r>
            <w:r>
              <w:rPr>
                <w:b/>
                <w:color w:val="000000" w:themeColor="text1"/>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4D2155" w:rsidRDefault="00B912EE" w:rsidP="00C330C4">
            <w:pPr>
              <w:jc w:val="both"/>
              <w:rPr>
                <w:color w:val="000000" w:themeColor="text1"/>
                <w:lang w:val="en-US" w:eastAsia="en-US"/>
              </w:rPr>
            </w:pPr>
            <w:r w:rsidRPr="004D2155">
              <w:rPr>
                <w:color w:val="000000" w:themeColor="text1"/>
                <w:lang w:val="en-US" w:eastAsia="en-US"/>
              </w:rPr>
              <w:t>2.2.</w:t>
            </w:r>
            <w:r w:rsidRPr="004D2155">
              <w:rPr>
                <w:color w:val="000000" w:themeColor="text1"/>
                <w:lang w:val="en-US" w:eastAsia="en-US"/>
              </w:rPr>
              <w:t>4</w:t>
            </w:r>
            <w:r w:rsidRPr="004D2155">
              <w:rPr>
                <w:color w:val="000000" w:themeColor="text1"/>
                <w:lang w:val="en-US" w:eastAsia="en-US"/>
              </w:rPr>
              <w:t>.  Decision adopted by the issuer’s Board of Directors:</w:t>
            </w:r>
          </w:p>
          <w:p w:rsidR="002B3C8C" w:rsidRPr="002B3C8C" w:rsidRDefault="004D2155" w:rsidP="00C330C4">
            <w:pPr>
              <w:jc w:val="both"/>
              <w:rPr>
                <w:lang w:val="en-US" w:eastAsia="en-US"/>
              </w:rPr>
            </w:pPr>
            <w:r w:rsidRPr="004D2155">
              <w:rPr>
                <w:color w:val="000000" w:themeColor="text1"/>
                <w:lang w:val="en-US" w:eastAsia="en-US"/>
              </w:rPr>
              <w:t xml:space="preserve">To take note of the </w:t>
            </w:r>
            <w:r w:rsidRPr="004D2155">
              <w:rPr>
                <w:lang w:val="en-US" w:eastAsia="en-US"/>
              </w:rPr>
              <w:t>report on implementation of the Group’s Business plan consolidated on the principles of RAS and IFRS for the 1</w:t>
            </w:r>
            <w:r w:rsidRPr="004D2155">
              <w:rPr>
                <w:vertAlign w:val="superscript"/>
                <w:lang w:val="en-US" w:eastAsia="en-US"/>
              </w:rPr>
              <w:t>st</w:t>
            </w:r>
            <w:r w:rsidRPr="004D2155">
              <w:rPr>
                <w:lang w:val="en-US" w:eastAsia="en-US"/>
              </w:rPr>
              <w:t xml:space="preserve"> six months of 2018, </w:t>
            </w:r>
            <w:r w:rsidRPr="004D2155">
              <w:rPr>
                <w:color w:val="222222"/>
                <w:shd w:val="clear" w:color="auto" w:fill="FFFFFF"/>
                <w:lang w:val="en-US"/>
              </w:rPr>
              <w:t>as specified in Annex</w:t>
            </w:r>
            <w:r w:rsidRPr="004D2155">
              <w:rPr>
                <w:color w:val="222222"/>
                <w:shd w:val="clear" w:color="auto" w:fill="FFFFFF"/>
                <w:lang w:val="en-US"/>
              </w:rPr>
              <w:t>es</w:t>
            </w:r>
            <w:r w:rsidRPr="004D2155">
              <w:rPr>
                <w:color w:val="222222"/>
                <w:shd w:val="clear" w:color="auto" w:fill="FFFFFF"/>
                <w:lang w:val="en-US"/>
              </w:rPr>
              <w:t xml:space="preserve"> </w:t>
            </w:r>
            <w:r w:rsidRPr="004D2155">
              <w:rPr>
                <w:color w:val="222222"/>
                <w:shd w:val="clear" w:color="auto" w:fill="FFFFFF"/>
                <w:lang w:val="en-US"/>
              </w:rPr>
              <w:t>4 and 5</w:t>
            </w:r>
            <w:r w:rsidRPr="004D2155">
              <w:rPr>
                <w:color w:val="222222"/>
                <w:shd w:val="clear" w:color="auto" w:fill="FFFFFF"/>
                <w:lang w:val="en-US"/>
              </w:rPr>
              <w:t xml:space="preserve"> to this resolution of the Company’s Board of Directors</w:t>
            </w:r>
            <w:r w:rsidR="002B3C8C">
              <w:rPr>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0532A" w:rsidRDefault="00B912EE" w:rsidP="00C330C4">
            <w:pPr>
              <w:jc w:val="center"/>
              <w:rPr>
                <w:b/>
                <w:color w:val="000000" w:themeColor="text1"/>
                <w:lang w:val="en-US" w:eastAsia="en-US"/>
              </w:rPr>
            </w:pPr>
            <w:r w:rsidRPr="0020532A">
              <w:rPr>
                <w:b/>
                <w:color w:val="000000" w:themeColor="text1"/>
                <w:lang w:val="en-US" w:eastAsia="en-US"/>
              </w:rPr>
              <w:t xml:space="preserve">Disclosure of insider information </w:t>
            </w:r>
          </w:p>
          <w:p w:rsidR="00B912EE" w:rsidRPr="003574D3" w:rsidRDefault="00B912EE" w:rsidP="00C330C4">
            <w:pPr>
              <w:jc w:val="both"/>
              <w:rPr>
                <w:color w:val="000000" w:themeColor="text1"/>
                <w:lang w:val="en-US" w:eastAsia="en-US"/>
              </w:rPr>
            </w:pPr>
            <w:r w:rsidRPr="0020532A">
              <w:rPr>
                <w:b/>
                <w:color w:val="000000" w:themeColor="text1"/>
                <w:lang w:val="en-US" w:eastAsia="en-US"/>
              </w:rPr>
              <w:t>Item No.</w:t>
            </w:r>
            <w:r>
              <w:rPr>
                <w:b/>
                <w:color w:val="000000" w:themeColor="text1"/>
                <w:lang w:val="en-US" w:eastAsia="en-US"/>
              </w:rPr>
              <w:t xml:space="preserve"> 5 </w:t>
            </w:r>
            <w:r>
              <w:rPr>
                <w:b/>
                <w:color w:val="000000" w:themeColor="text1"/>
                <w:lang w:val="en-US" w:eastAsia="en-US"/>
              </w:rPr>
              <w:t>“</w:t>
            </w:r>
            <w:r w:rsidRPr="00D66D72">
              <w:rPr>
                <w:b/>
                <w:lang w:val="en-US" w:eastAsia="en-US"/>
              </w:rPr>
              <w:t>Approval of a report on the results of implementation of the Company’s Investment Programme for the 2</w:t>
            </w:r>
            <w:r w:rsidRPr="00D66D72">
              <w:rPr>
                <w:b/>
                <w:vertAlign w:val="superscript"/>
                <w:lang w:val="en-US" w:eastAsia="en-US"/>
              </w:rPr>
              <w:t>nd</w:t>
            </w:r>
            <w:r w:rsidRPr="00D66D72">
              <w:rPr>
                <w:b/>
                <w:lang w:val="en-US" w:eastAsia="en-US"/>
              </w:rPr>
              <w:t xml:space="preserve"> quarter and the first six months of 2018 and a report on implementation of the Company’s investment projects from the list of top-priority facilities, for the 2</w:t>
            </w:r>
            <w:r w:rsidRPr="00D66D72">
              <w:rPr>
                <w:b/>
                <w:vertAlign w:val="superscript"/>
                <w:lang w:val="en-US" w:eastAsia="en-US"/>
              </w:rPr>
              <w:t>nd</w:t>
            </w:r>
            <w:r w:rsidRPr="00D66D72">
              <w:rPr>
                <w:b/>
                <w:lang w:val="en-US" w:eastAsia="en-US"/>
              </w:rPr>
              <w:t xml:space="preserve"> quarter of 2018</w:t>
            </w:r>
            <w:r>
              <w:rPr>
                <w:b/>
                <w:color w:val="000000" w:themeColor="text1"/>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B3C8C" w:rsidRDefault="00B912EE" w:rsidP="00C330C4">
            <w:pPr>
              <w:jc w:val="both"/>
              <w:rPr>
                <w:color w:val="000000" w:themeColor="text1"/>
                <w:lang w:val="en-US" w:eastAsia="en-US"/>
              </w:rPr>
            </w:pPr>
            <w:r w:rsidRPr="002B3C8C">
              <w:rPr>
                <w:color w:val="000000" w:themeColor="text1"/>
                <w:lang w:val="en-US" w:eastAsia="en-US"/>
              </w:rPr>
              <w:t>2.2.</w:t>
            </w:r>
            <w:r w:rsidRPr="002B3C8C">
              <w:rPr>
                <w:color w:val="000000" w:themeColor="text1"/>
                <w:lang w:val="en-US" w:eastAsia="en-US"/>
              </w:rPr>
              <w:t>5</w:t>
            </w:r>
            <w:r w:rsidRPr="002B3C8C">
              <w:rPr>
                <w:color w:val="000000" w:themeColor="text1"/>
                <w:lang w:val="en-US" w:eastAsia="en-US"/>
              </w:rPr>
              <w:t>.  Decision adopted by the issuer’s Board of Directors:</w:t>
            </w:r>
          </w:p>
          <w:p w:rsidR="00B912EE" w:rsidRDefault="002B3C8C" w:rsidP="00C330C4">
            <w:pPr>
              <w:jc w:val="both"/>
              <w:rPr>
                <w:color w:val="222222"/>
                <w:shd w:val="clear" w:color="auto" w:fill="FFFFFF"/>
                <w:lang w:val="en-US"/>
              </w:rPr>
            </w:pPr>
            <w:r w:rsidRPr="002B3C8C">
              <w:rPr>
                <w:color w:val="000000" w:themeColor="text1"/>
                <w:lang w:val="en-US" w:eastAsia="en-US"/>
              </w:rPr>
              <w:t xml:space="preserve">1. </w:t>
            </w:r>
            <w:r w:rsidRPr="002B3C8C">
              <w:rPr>
                <w:color w:val="000000" w:themeColor="text1"/>
                <w:lang w:val="en-US" w:eastAsia="en-US"/>
              </w:rPr>
              <w:t>To take note of the</w:t>
            </w:r>
            <w:r w:rsidRPr="002B3C8C">
              <w:rPr>
                <w:lang w:val="en-US" w:eastAsia="en-US"/>
              </w:rPr>
              <w:t xml:space="preserve"> </w:t>
            </w:r>
            <w:r w:rsidRPr="002B3C8C">
              <w:rPr>
                <w:lang w:val="en-US" w:eastAsia="en-US"/>
              </w:rPr>
              <w:t>report on the results of implementation of the Company’s Investment Programme for the 2</w:t>
            </w:r>
            <w:r w:rsidRPr="002B3C8C">
              <w:rPr>
                <w:vertAlign w:val="superscript"/>
                <w:lang w:val="en-US" w:eastAsia="en-US"/>
              </w:rPr>
              <w:t>nd</w:t>
            </w:r>
            <w:r w:rsidRPr="002B3C8C">
              <w:rPr>
                <w:lang w:val="en-US" w:eastAsia="en-US"/>
              </w:rPr>
              <w:t xml:space="preserve"> quarter and the first six months of 2018 and a report on implementation of the Company’s investment projects from the list of top-priority facilities, for the 2</w:t>
            </w:r>
            <w:r w:rsidRPr="002B3C8C">
              <w:rPr>
                <w:vertAlign w:val="superscript"/>
                <w:lang w:val="en-US" w:eastAsia="en-US"/>
              </w:rPr>
              <w:t>nd</w:t>
            </w:r>
            <w:r w:rsidRPr="002B3C8C">
              <w:rPr>
                <w:lang w:val="en-US" w:eastAsia="en-US"/>
              </w:rPr>
              <w:t xml:space="preserve"> quarter of 2018</w:t>
            </w:r>
            <w:r w:rsidRPr="004D2155">
              <w:rPr>
                <w:lang w:val="en-US" w:eastAsia="en-US"/>
              </w:rPr>
              <w:t xml:space="preserve">, </w:t>
            </w:r>
            <w:r w:rsidRPr="004D2155">
              <w:rPr>
                <w:color w:val="222222"/>
                <w:shd w:val="clear" w:color="auto" w:fill="FFFFFF"/>
                <w:lang w:val="en-US"/>
              </w:rPr>
              <w:t xml:space="preserve">as specified in Annexes </w:t>
            </w:r>
            <w:r>
              <w:rPr>
                <w:color w:val="222222"/>
                <w:shd w:val="clear" w:color="auto" w:fill="FFFFFF"/>
                <w:lang w:val="en-US"/>
              </w:rPr>
              <w:t>6</w:t>
            </w:r>
            <w:r w:rsidRPr="004D2155">
              <w:rPr>
                <w:color w:val="222222"/>
                <w:shd w:val="clear" w:color="auto" w:fill="FFFFFF"/>
                <w:lang w:val="en-US"/>
              </w:rPr>
              <w:t xml:space="preserve"> and </w:t>
            </w:r>
            <w:r>
              <w:rPr>
                <w:color w:val="222222"/>
                <w:shd w:val="clear" w:color="auto" w:fill="FFFFFF"/>
                <w:lang w:val="en-US"/>
              </w:rPr>
              <w:t>7</w:t>
            </w:r>
            <w:r w:rsidRPr="004D2155">
              <w:rPr>
                <w:color w:val="222222"/>
                <w:shd w:val="clear" w:color="auto" w:fill="FFFFFF"/>
                <w:lang w:val="en-US"/>
              </w:rPr>
              <w:t xml:space="preserve"> to this resolution of the Company’s Board of Directors</w:t>
            </w:r>
            <w:r>
              <w:rPr>
                <w:color w:val="222222"/>
                <w:shd w:val="clear" w:color="auto" w:fill="FFFFFF"/>
                <w:lang w:val="en-US"/>
              </w:rPr>
              <w:t>.</w:t>
            </w:r>
          </w:p>
          <w:p w:rsidR="002B3C8C" w:rsidRDefault="002B3C8C" w:rsidP="00C330C4">
            <w:pPr>
              <w:jc w:val="both"/>
              <w:rPr>
                <w:color w:val="222222"/>
                <w:shd w:val="clear" w:color="auto" w:fill="FFFFFF"/>
                <w:lang w:val="en-US"/>
              </w:rPr>
            </w:pPr>
            <w:r>
              <w:rPr>
                <w:color w:val="222222"/>
                <w:shd w:val="clear" w:color="auto" w:fill="FFFFFF"/>
                <w:lang w:val="en-US"/>
              </w:rPr>
              <w:t>2. To determine the procedure for submitting a report on purchase of grid facilities which do not require prior approval of the Board of Directors, specified in paragraph 2.1. of the decision of the BoD of 18.05.2018 on item 2 (minutes No.310/2018 of 21.05.2018), as part of the quarterly report on implementation of the Company’s Investment Programme.</w:t>
            </w:r>
          </w:p>
          <w:p w:rsidR="002B3C8C" w:rsidRDefault="002B3C8C" w:rsidP="00C330C4">
            <w:pPr>
              <w:jc w:val="both"/>
              <w:rPr>
                <w:color w:val="222222"/>
                <w:shd w:val="clear" w:color="auto" w:fill="FFFFFF"/>
                <w:lang w:val="en-US"/>
              </w:rPr>
            </w:pPr>
            <w:r>
              <w:rPr>
                <w:color w:val="222222"/>
                <w:shd w:val="clear" w:color="auto" w:fill="FFFFFF"/>
                <w:lang w:val="en-US"/>
              </w:rPr>
              <w:lastRenderedPageBreak/>
              <w:t xml:space="preserve">3. To note deviation from the actual indicators of implementation of </w:t>
            </w:r>
            <w:r>
              <w:rPr>
                <w:color w:val="222222"/>
                <w:shd w:val="clear" w:color="auto" w:fill="FFFFFF"/>
                <w:lang w:val="en-US"/>
              </w:rPr>
              <w:t>the Company’s Investment Programme</w:t>
            </w:r>
            <w:r>
              <w:rPr>
                <w:color w:val="222222"/>
                <w:shd w:val="clear" w:color="auto" w:fill="FFFFFF"/>
                <w:lang w:val="en-US"/>
              </w:rPr>
              <w:t xml:space="preserve"> for the 2</w:t>
            </w:r>
            <w:r w:rsidRPr="002B3C8C">
              <w:rPr>
                <w:color w:val="222222"/>
                <w:shd w:val="clear" w:color="auto" w:fill="FFFFFF"/>
                <w:vertAlign w:val="superscript"/>
                <w:lang w:val="en-US"/>
              </w:rPr>
              <w:t>nd</w:t>
            </w:r>
            <w:r>
              <w:rPr>
                <w:color w:val="222222"/>
                <w:shd w:val="clear" w:color="auto" w:fill="FFFFFF"/>
                <w:lang w:val="en-US"/>
              </w:rPr>
              <w:t xml:space="preserve"> quarter and 6 months of 2018 from the planned indicators</w:t>
            </w:r>
            <w:r>
              <w:rPr>
                <w:lang w:val="en-US" w:eastAsia="en-US"/>
              </w:rPr>
              <w:t xml:space="preserve">, </w:t>
            </w:r>
            <w:r>
              <w:rPr>
                <w:color w:val="222222"/>
                <w:shd w:val="clear" w:color="auto" w:fill="FFFFFF"/>
                <w:lang w:val="en-US"/>
              </w:rPr>
              <w:t xml:space="preserve">as specified in Annex </w:t>
            </w:r>
            <w:r>
              <w:rPr>
                <w:color w:val="222222"/>
                <w:shd w:val="clear" w:color="auto" w:fill="FFFFFF"/>
                <w:lang w:val="en-US"/>
              </w:rPr>
              <w:t>8</w:t>
            </w:r>
            <w:r>
              <w:rPr>
                <w:color w:val="222222"/>
                <w:shd w:val="clear" w:color="auto" w:fill="FFFFFF"/>
                <w:lang w:val="en-US"/>
              </w:rPr>
              <w:t xml:space="preserve"> to this resolution of the Company’s Board of Directors</w:t>
            </w:r>
            <w:r>
              <w:rPr>
                <w:color w:val="222222"/>
                <w:shd w:val="clear" w:color="auto" w:fill="FFFFFF"/>
                <w:lang w:val="en-US"/>
              </w:rPr>
              <w:t>.</w:t>
            </w:r>
          </w:p>
          <w:p w:rsidR="002B3C8C" w:rsidRPr="002B3C8C" w:rsidRDefault="002B3C8C" w:rsidP="00C330C4">
            <w:pPr>
              <w:jc w:val="both"/>
              <w:rPr>
                <w:color w:val="222222"/>
                <w:shd w:val="clear" w:color="auto" w:fill="FFFFFF"/>
                <w:lang w:val="en-US"/>
              </w:rPr>
            </w:pPr>
            <w:r>
              <w:rPr>
                <w:color w:val="222222"/>
                <w:shd w:val="clear" w:color="auto" w:fill="FFFFFF"/>
                <w:lang w:val="en-US"/>
              </w:rPr>
              <w:t xml:space="preserve">4. </w:t>
            </w:r>
            <w:r w:rsidRPr="002B3C8C">
              <w:rPr>
                <w:color w:val="222222"/>
                <w:shd w:val="clear" w:color="auto" w:fill="FFFFFF"/>
                <w:lang w:val="en-US"/>
              </w:rPr>
              <w:t xml:space="preserve">To ensure commissioning and testing of the equipment of 220 kV </w:t>
            </w:r>
            <w:r>
              <w:rPr>
                <w:color w:val="222222"/>
                <w:shd w:val="clear" w:color="auto" w:fill="FFFFFF"/>
                <w:lang w:val="en-US"/>
              </w:rPr>
              <w:t>s</w:t>
            </w:r>
            <w:r w:rsidRPr="002B3C8C">
              <w:rPr>
                <w:color w:val="222222"/>
                <w:shd w:val="clear" w:color="auto" w:fill="FFFFFF"/>
                <w:lang w:val="en-US"/>
              </w:rPr>
              <w:t xml:space="preserve">ubstation </w:t>
            </w:r>
            <w:r>
              <w:rPr>
                <w:color w:val="222222"/>
                <w:shd w:val="clear" w:color="auto" w:fill="FFFFFF"/>
                <w:lang w:val="en-US"/>
              </w:rPr>
              <w:t>“</w:t>
            </w:r>
            <w:r w:rsidRPr="002B3C8C">
              <w:rPr>
                <w:color w:val="222222"/>
                <w:shd w:val="clear" w:color="auto" w:fill="FFFFFF"/>
                <w:lang w:val="en-US"/>
              </w:rPr>
              <w:t>Port</w:t>
            </w:r>
            <w:r>
              <w:rPr>
                <w:color w:val="222222"/>
                <w:shd w:val="clear" w:color="auto" w:fill="FFFFFF"/>
                <w:lang w:val="en-US"/>
              </w:rPr>
              <w:t>”</w:t>
            </w:r>
            <w:r w:rsidRPr="002B3C8C">
              <w:rPr>
                <w:color w:val="222222"/>
                <w:shd w:val="clear" w:color="auto" w:fill="FFFFFF"/>
                <w:lang w:val="en-US"/>
              </w:rPr>
              <w:t xml:space="preserve"> in accordance with the approved Consolidated schedule for commissioning electrical installations with a voltage level of 500-10 kV to ensure </w:t>
            </w:r>
            <w:r w:rsidRPr="002B3C8C">
              <w:rPr>
                <w:color w:val="222222"/>
                <w:shd w:val="clear" w:color="auto" w:fill="FFFFFF"/>
                <w:lang w:val="en-US"/>
              </w:rPr>
              <w:t xml:space="preserve">entry into service </w:t>
            </w:r>
            <w:r w:rsidRPr="002B3C8C">
              <w:rPr>
                <w:color w:val="222222"/>
                <w:shd w:val="clear" w:color="auto" w:fill="FFFFFF"/>
                <w:lang w:val="en-US"/>
              </w:rPr>
              <w:t>of the transport infrastructure of the Taman Peninsula.</w:t>
            </w:r>
          </w:p>
          <w:p w:rsidR="002B3C8C" w:rsidRPr="002B3C8C" w:rsidRDefault="002B3C8C" w:rsidP="00C330C4">
            <w:pPr>
              <w:jc w:val="both"/>
              <w:rPr>
                <w:color w:val="222222"/>
                <w:shd w:val="clear" w:color="auto" w:fill="FFFFFF"/>
                <w:lang w:val="en-US"/>
              </w:rPr>
            </w:pPr>
            <w:r w:rsidRPr="002B3C8C">
              <w:rPr>
                <w:color w:val="222222"/>
                <w:shd w:val="clear" w:color="auto" w:fill="FFFFFF"/>
                <w:lang w:val="en-US"/>
              </w:rPr>
              <w:t>5. To instruct the Director General of Kubanenergo</w:t>
            </w:r>
            <w:r>
              <w:rPr>
                <w:color w:val="222222"/>
                <w:shd w:val="clear" w:color="auto" w:fill="FFFFFF"/>
                <w:lang w:val="en-US"/>
              </w:rPr>
              <w:t xml:space="preserve"> PJSC</w:t>
            </w:r>
            <w:r w:rsidRPr="002B3C8C">
              <w:rPr>
                <w:color w:val="222222"/>
                <w:shd w:val="clear" w:color="auto" w:fill="FFFFFF"/>
                <w:lang w:val="en-US"/>
              </w:rPr>
              <w:t xml:space="preserve"> to submit to the Board of Directors a report on the reasons </w:t>
            </w:r>
            <w:r>
              <w:rPr>
                <w:color w:val="222222"/>
                <w:shd w:val="clear" w:color="auto" w:fill="FFFFFF"/>
                <w:lang w:val="en-US"/>
              </w:rPr>
              <w:t>of</w:t>
            </w:r>
            <w:r w:rsidRPr="002B3C8C">
              <w:rPr>
                <w:color w:val="222222"/>
                <w:shd w:val="clear" w:color="auto" w:fill="FFFFFF"/>
                <w:lang w:val="en-US"/>
              </w:rPr>
              <w:t xml:space="preserve"> deviation of the actual </w:t>
            </w:r>
            <w:r>
              <w:rPr>
                <w:color w:val="222222"/>
                <w:shd w:val="clear" w:color="auto" w:fill="FFFFFF"/>
                <w:lang w:val="en-US"/>
              </w:rPr>
              <w:t>indicators</w:t>
            </w:r>
            <w:r w:rsidRPr="002B3C8C">
              <w:rPr>
                <w:color w:val="222222"/>
                <w:shd w:val="clear" w:color="auto" w:fill="FFFFFF"/>
                <w:lang w:val="en-US"/>
              </w:rPr>
              <w:t xml:space="preserve"> of the </w:t>
            </w:r>
            <w:r w:rsidRPr="002B3C8C">
              <w:rPr>
                <w:color w:val="222222"/>
                <w:shd w:val="clear" w:color="auto" w:fill="FFFFFF"/>
                <w:lang w:val="en-US"/>
              </w:rPr>
              <w:t>Investment Program</w:t>
            </w:r>
            <w:r>
              <w:rPr>
                <w:color w:val="222222"/>
                <w:shd w:val="clear" w:color="auto" w:fill="FFFFFF"/>
                <w:lang w:val="en-US"/>
              </w:rPr>
              <w:t>me</w:t>
            </w:r>
            <w:r w:rsidRPr="002B3C8C">
              <w:rPr>
                <w:color w:val="222222"/>
                <w:shd w:val="clear" w:color="auto" w:fill="FFFFFF"/>
                <w:lang w:val="en-US"/>
              </w:rPr>
              <w:t xml:space="preserve"> </w:t>
            </w:r>
            <w:r w:rsidRPr="002B3C8C">
              <w:rPr>
                <w:color w:val="222222"/>
                <w:shd w:val="clear" w:color="auto" w:fill="FFFFFF"/>
                <w:lang w:val="en-US"/>
              </w:rPr>
              <w:t>of Kubanenergo</w:t>
            </w:r>
            <w:r>
              <w:rPr>
                <w:color w:val="222222"/>
                <w:shd w:val="clear" w:color="auto" w:fill="FFFFFF"/>
                <w:lang w:val="en-US"/>
              </w:rPr>
              <w:t xml:space="preserve"> PJSC</w:t>
            </w:r>
            <w:r w:rsidRPr="002B3C8C">
              <w:rPr>
                <w:color w:val="222222"/>
                <w:shd w:val="clear" w:color="auto" w:fill="FFFFFF"/>
                <w:lang w:val="en-US"/>
              </w:rPr>
              <w:t xml:space="preserve"> from the planned </w:t>
            </w:r>
            <w:r>
              <w:rPr>
                <w:color w:val="222222"/>
                <w:shd w:val="clear" w:color="auto" w:fill="FFFFFF"/>
                <w:lang w:val="en-US"/>
              </w:rPr>
              <w:t>ones</w:t>
            </w:r>
            <w:r w:rsidRPr="002B3C8C">
              <w:rPr>
                <w:color w:val="222222"/>
                <w:shd w:val="clear" w:color="auto" w:fill="FFFFFF"/>
                <w:lang w:val="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0532A" w:rsidRDefault="00B912EE" w:rsidP="00C330C4">
            <w:pPr>
              <w:jc w:val="center"/>
              <w:rPr>
                <w:b/>
                <w:color w:val="000000" w:themeColor="text1"/>
                <w:lang w:val="en-US" w:eastAsia="en-US"/>
              </w:rPr>
            </w:pPr>
            <w:r w:rsidRPr="0020532A">
              <w:rPr>
                <w:b/>
                <w:color w:val="000000" w:themeColor="text1"/>
                <w:lang w:val="en-US" w:eastAsia="en-US"/>
              </w:rPr>
              <w:lastRenderedPageBreak/>
              <w:t xml:space="preserve">Disclosure of insider information </w:t>
            </w:r>
          </w:p>
          <w:p w:rsidR="00B912EE" w:rsidRPr="003574D3" w:rsidRDefault="00B912EE" w:rsidP="00C330C4">
            <w:pPr>
              <w:jc w:val="both"/>
              <w:rPr>
                <w:color w:val="000000" w:themeColor="text1"/>
                <w:lang w:val="en-US" w:eastAsia="en-US"/>
              </w:rPr>
            </w:pPr>
            <w:r w:rsidRPr="0020532A">
              <w:rPr>
                <w:b/>
                <w:color w:val="000000" w:themeColor="text1"/>
                <w:lang w:val="en-US" w:eastAsia="en-US"/>
              </w:rPr>
              <w:t>Item No.</w:t>
            </w:r>
            <w:r>
              <w:rPr>
                <w:b/>
                <w:color w:val="000000" w:themeColor="text1"/>
                <w:lang w:val="en-US" w:eastAsia="en-US"/>
              </w:rPr>
              <w:t xml:space="preserve"> 6 </w:t>
            </w:r>
            <w:r>
              <w:rPr>
                <w:b/>
                <w:color w:val="000000" w:themeColor="text1"/>
                <w:lang w:val="en-US" w:eastAsia="en-US"/>
              </w:rPr>
              <w:t>“</w:t>
            </w:r>
            <w:r w:rsidRPr="00D66D72">
              <w:rPr>
                <w:b/>
                <w:lang w:val="en-US" w:eastAsia="en-US"/>
              </w:rPr>
              <w:t>Discussion of a report from the Director General of “Kubanenergo” PJSC on implementation of orders issued by the Company’s Board of Directors</w:t>
            </w:r>
            <w:r>
              <w:rPr>
                <w:b/>
                <w:color w:val="000000" w:themeColor="text1"/>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B3C8C" w:rsidRDefault="00B912EE" w:rsidP="00C330C4">
            <w:pPr>
              <w:jc w:val="both"/>
              <w:rPr>
                <w:color w:val="000000" w:themeColor="text1"/>
                <w:lang w:val="en-US" w:eastAsia="en-US"/>
              </w:rPr>
            </w:pPr>
            <w:r w:rsidRPr="002B3C8C">
              <w:rPr>
                <w:color w:val="000000" w:themeColor="text1"/>
                <w:lang w:val="en-US" w:eastAsia="en-US"/>
              </w:rPr>
              <w:t>2.2.</w:t>
            </w:r>
            <w:r w:rsidRPr="002B3C8C">
              <w:rPr>
                <w:color w:val="000000" w:themeColor="text1"/>
                <w:lang w:val="en-US" w:eastAsia="en-US"/>
              </w:rPr>
              <w:t>6</w:t>
            </w:r>
            <w:r w:rsidRPr="002B3C8C">
              <w:rPr>
                <w:color w:val="000000" w:themeColor="text1"/>
                <w:lang w:val="en-US" w:eastAsia="en-US"/>
              </w:rPr>
              <w:t>.  Decision adopted by the issuer’s Board of Directors:</w:t>
            </w:r>
          </w:p>
          <w:p w:rsidR="002B3C8C" w:rsidRDefault="002B3C8C" w:rsidP="00C330C4">
            <w:pPr>
              <w:jc w:val="both"/>
              <w:rPr>
                <w:color w:val="222222"/>
                <w:shd w:val="clear" w:color="auto" w:fill="FFFFFF"/>
                <w:lang w:val="en-US"/>
              </w:rPr>
            </w:pPr>
            <w:r w:rsidRPr="002B3C8C">
              <w:rPr>
                <w:color w:val="000000" w:themeColor="text1"/>
                <w:lang w:val="en-US" w:eastAsia="en-US"/>
              </w:rPr>
              <w:t xml:space="preserve">1. </w:t>
            </w:r>
            <w:r w:rsidRPr="002B3C8C">
              <w:rPr>
                <w:color w:val="000000" w:themeColor="text1"/>
                <w:lang w:val="en-US" w:eastAsia="en-US"/>
              </w:rPr>
              <w:t>To take note of the</w:t>
            </w:r>
            <w:r w:rsidRPr="002B3C8C">
              <w:rPr>
                <w:lang w:val="en-US" w:eastAsia="en-US"/>
              </w:rPr>
              <w:t xml:space="preserve"> </w:t>
            </w:r>
            <w:r w:rsidRPr="002B3C8C">
              <w:rPr>
                <w:lang w:val="en-US" w:eastAsia="en-US"/>
              </w:rPr>
              <w:t>report from the Director General of “Kubanenergo” PJSC on implementation of orders issued by the Company’s Board of Directors</w:t>
            </w:r>
            <w:r>
              <w:rPr>
                <w:lang w:val="en-US" w:eastAsia="en-US"/>
              </w:rPr>
              <w:t xml:space="preserve">, </w:t>
            </w:r>
            <w:r>
              <w:rPr>
                <w:color w:val="222222"/>
                <w:shd w:val="clear" w:color="auto" w:fill="FFFFFF"/>
                <w:lang w:val="en-US"/>
              </w:rPr>
              <w:t xml:space="preserve">as specified in Annex </w:t>
            </w:r>
            <w:r>
              <w:rPr>
                <w:color w:val="222222"/>
                <w:shd w:val="clear" w:color="auto" w:fill="FFFFFF"/>
                <w:lang w:val="en-US"/>
              </w:rPr>
              <w:t>9</w:t>
            </w:r>
            <w:r>
              <w:rPr>
                <w:color w:val="222222"/>
                <w:shd w:val="clear" w:color="auto" w:fill="FFFFFF"/>
                <w:lang w:val="en-US"/>
              </w:rPr>
              <w:t xml:space="preserve"> to this resolution of the Company’s Board of Directors.</w:t>
            </w:r>
          </w:p>
          <w:p w:rsidR="00CD748B" w:rsidRPr="00CD748B" w:rsidRDefault="00CD748B" w:rsidP="00C330C4">
            <w:pPr>
              <w:jc w:val="both"/>
              <w:rPr>
                <w:lang w:val="en-US" w:eastAsia="en-US"/>
              </w:rPr>
            </w:pPr>
            <w:r w:rsidRPr="00CD748B">
              <w:rPr>
                <w:lang w:val="en-US" w:eastAsia="en-US"/>
              </w:rPr>
              <w:t>2. To instruct the Director General to ensure strict compliance with the Decree of the Government of the Russian Federation No.1352</w:t>
            </w:r>
            <w:r>
              <w:rPr>
                <w:lang w:val="en-US" w:eastAsia="en-US"/>
              </w:rPr>
              <w:t xml:space="preserve"> of 11.12.2014</w:t>
            </w:r>
            <w:r w:rsidRPr="00CD748B">
              <w:rPr>
                <w:lang w:val="en-US" w:eastAsia="en-US"/>
              </w:rPr>
              <w:t xml:space="preserve"> </w:t>
            </w:r>
            <w:r>
              <w:rPr>
                <w:lang w:val="en-US" w:eastAsia="en-US"/>
              </w:rPr>
              <w:t>pertaining</w:t>
            </w:r>
            <w:r w:rsidRPr="00CD748B">
              <w:rPr>
                <w:lang w:val="en-US" w:eastAsia="en-US"/>
              </w:rPr>
              <w:t xml:space="preserve"> payment </w:t>
            </w:r>
            <w:r>
              <w:rPr>
                <w:lang w:val="en-US" w:eastAsia="en-US"/>
              </w:rPr>
              <w:t>deadlines</w:t>
            </w:r>
            <w:r w:rsidRPr="00CD748B">
              <w:rPr>
                <w:lang w:val="en-US" w:eastAsia="en-US"/>
              </w:rPr>
              <w:t xml:space="preserve"> </w:t>
            </w:r>
            <w:r>
              <w:rPr>
                <w:lang w:val="en-US" w:eastAsia="en-US"/>
              </w:rPr>
              <w:t>for</w:t>
            </w:r>
            <w:r w:rsidRPr="00CD748B">
              <w:rPr>
                <w:lang w:val="en-US" w:eastAsia="en-US"/>
              </w:rPr>
              <w:t xml:space="preserve"> contracts concluded with small and medium-sized businesses.</w:t>
            </w:r>
          </w:p>
          <w:p w:rsidR="00B912EE" w:rsidRPr="002B3C8C" w:rsidRDefault="00CD748B" w:rsidP="00C330C4">
            <w:pPr>
              <w:jc w:val="both"/>
              <w:rPr>
                <w:color w:val="000000" w:themeColor="text1"/>
                <w:lang w:val="en-US" w:eastAsia="en-US"/>
              </w:rPr>
            </w:pPr>
            <w:r w:rsidRPr="00CD748B">
              <w:rPr>
                <w:lang w:val="en-US" w:eastAsia="en-US"/>
              </w:rPr>
              <w:t xml:space="preserve">3. To take note of the information on implementation of the decision of the Board of Directors of the Company </w:t>
            </w:r>
            <w:r>
              <w:rPr>
                <w:lang w:val="en-US" w:eastAsia="en-US"/>
              </w:rPr>
              <w:t>of 15.08.2018</w:t>
            </w:r>
            <w:r w:rsidRPr="00CD748B">
              <w:rPr>
                <w:lang w:val="en-US" w:eastAsia="en-US"/>
              </w:rPr>
              <w:t xml:space="preserve"> on </w:t>
            </w:r>
            <w:r>
              <w:rPr>
                <w:lang w:val="en-US" w:eastAsia="en-US"/>
              </w:rPr>
              <w:t>item</w:t>
            </w:r>
            <w:r w:rsidRPr="00CD748B">
              <w:rPr>
                <w:lang w:val="en-US" w:eastAsia="en-US"/>
              </w:rPr>
              <w:t xml:space="preserve"> No. 2 (</w:t>
            </w:r>
            <w:r>
              <w:rPr>
                <w:lang w:val="en-US" w:eastAsia="en-US"/>
              </w:rPr>
              <w:t>minutes No.</w:t>
            </w:r>
            <w:r w:rsidRPr="00CD748B">
              <w:rPr>
                <w:lang w:val="en-US" w:eastAsia="en-US"/>
              </w:rPr>
              <w:t xml:space="preserve">317/2018 </w:t>
            </w:r>
            <w:r>
              <w:rPr>
                <w:lang w:val="en-US" w:eastAsia="en-US"/>
              </w:rPr>
              <w:t>of 17.08.2018</w:t>
            </w:r>
            <w:r w:rsidRPr="00CD748B">
              <w:rPr>
                <w:lang w:val="en-US" w:eastAsia="en-US"/>
              </w:rPr>
              <w:t xml:space="preserve">) in accordance with </w:t>
            </w:r>
            <w:r>
              <w:rPr>
                <w:lang w:val="en-US" w:eastAsia="en-US"/>
              </w:rPr>
              <w:t>Annex</w:t>
            </w:r>
            <w:r w:rsidRPr="00CD748B">
              <w:rPr>
                <w:lang w:val="en-US" w:eastAsia="en-US"/>
              </w:rPr>
              <w:t xml:space="preserve">10 to this </w:t>
            </w:r>
            <w:r>
              <w:rPr>
                <w:color w:val="222222"/>
                <w:shd w:val="clear" w:color="auto" w:fill="FFFFFF"/>
                <w:lang w:val="en-US"/>
              </w:rPr>
              <w:t xml:space="preserve">resolution </w:t>
            </w:r>
            <w:r w:rsidRPr="00CD748B">
              <w:rPr>
                <w:lang w:val="en-US" w:eastAsia="en-US"/>
              </w:rPr>
              <w:t>of the Company</w:t>
            </w:r>
            <w:r>
              <w:rPr>
                <w:lang w:val="en-US" w:eastAsia="en-US"/>
              </w:rPr>
              <w:t>’</w:t>
            </w:r>
            <w:r w:rsidRPr="00CD748B">
              <w:rPr>
                <w:lang w:val="en-US" w:eastAsia="en-US"/>
              </w:rPr>
              <w:t>s Board of Directors.</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0532A" w:rsidRDefault="00B912EE" w:rsidP="00C330C4">
            <w:pPr>
              <w:jc w:val="center"/>
              <w:rPr>
                <w:b/>
                <w:color w:val="000000" w:themeColor="text1"/>
                <w:lang w:val="en-US" w:eastAsia="en-US"/>
              </w:rPr>
            </w:pPr>
            <w:r w:rsidRPr="0020532A">
              <w:rPr>
                <w:b/>
                <w:color w:val="000000" w:themeColor="text1"/>
                <w:lang w:val="en-US" w:eastAsia="en-US"/>
              </w:rPr>
              <w:t xml:space="preserve">Disclosure of insider information </w:t>
            </w:r>
          </w:p>
          <w:p w:rsidR="00B912EE" w:rsidRPr="003574D3" w:rsidRDefault="00B912EE" w:rsidP="00C330C4">
            <w:pPr>
              <w:jc w:val="both"/>
              <w:rPr>
                <w:color w:val="000000" w:themeColor="text1"/>
                <w:lang w:val="en-US" w:eastAsia="en-US"/>
              </w:rPr>
            </w:pPr>
            <w:r w:rsidRPr="0020532A">
              <w:rPr>
                <w:b/>
                <w:color w:val="000000" w:themeColor="text1"/>
                <w:lang w:val="en-US" w:eastAsia="en-US"/>
              </w:rPr>
              <w:t>Item No.</w:t>
            </w:r>
            <w:r>
              <w:rPr>
                <w:b/>
                <w:color w:val="000000" w:themeColor="text1"/>
                <w:lang w:val="en-US" w:eastAsia="en-US"/>
              </w:rPr>
              <w:t xml:space="preserve"> 7 </w:t>
            </w:r>
            <w:r>
              <w:rPr>
                <w:b/>
                <w:color w:val="000000" w:themeColor="text1"/>
                <w:lang w:val="en-US" w:eastAsia="en-US"/>
              </w:rPr>
              <w:t>“</w:t>
            </w:r>
            <w:r w:rsidRPr="00D66D72">
              <w:rPr>
                <w:b/>
                <w:lang w:val="en-US" w:eastAsia="en-US"/>
              </w:rPr>
              <w:t>Approval of budgets for the Committees under the Company’s Board of Directors for the 2</w:t>
            </w:r>
            <w:r w:rsidRPr="00D66D72">
              <w:rPr>
                <w:b/>
                <w:vertAlign w:val="superscript"/>
                <w:lang w:val="en-US" w:eastAsia="en-US"/>
              </w:rPr>
              <w:t>nd</w:t>
            </w:r>
            <w:r w:rsidRPr="00D66D72">
              <w:rPr>
                <w:b/>
                <w:lang w:val="en-US" w:eastAsia="en-US"/>
              </w:rPr>
              <w:t xml:space="preserve"> half of 2018</w:t>
            </w:r>
            <w:r>
              <w:rPr>
                <w:b/>
                <w:color w:val="000000" w:themeColor="text1"/>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AE56C2" w:rsidRDefault="00B912EE" w:rsidP="00C330C4">
            <w:pPr>
              <w:jc w:val="both"/>
              <w:rPr>
                <w:color w:val="000000" w:themeColor="text1"/>
                <w:lang w:val="en-US" w:eastAsia="en-US"/>
              </w:rPr>
            </w:pPr>
            <w:r w:rsidRPr="00AE56C2">
              <w:rPr>
                <w:color w:val="000000" w:themeColor="text1"/>
                <w:lang w:val="en-US" w:eastAsia="en-US"/>
              </w:rPr>
              <w:t>2.2.</w:t>
            </w:r>
            <w:r w:rsidRPr="00AE56C2">
              <w:rPr>
                <w:color w:val="000000" w:themeColor="text1"/>
                <w:lang w:val="en-US" w:eastAsia="en-US"/>
              </w:rPr>
              <w:t>7</w:t>
            </w:r>
            <w:r w:rsidRPr="00AE56C2">
              <w:rPr>
                <w:color w:val="000000" w:themeColor="text1"/>
                <w:lang w:val="en-US" w:eastAsia="en-US"/>
              </w:rPr>
              <w:t>.  Decision adopted by the issuer’s Board of Directors:</w:t>
            </w:r>
          </w:p>
          <w:p w:rsidR="00B912EE" w:rsidRPr="00AE56C2" w:rsidRDefault="00AE56C2" w:rsidP="00C330C4">
            <w:pPr>
              <w:jc w:val="both"/>
              <w:rPr>
                <w:color w:val="222222"/>
                <w:shd w:val="clear" w:color="auto" w:fill="FFFFFF"/>
                <w:lang w:val="en-US"/>
              </w:rPr>
            </w:pPr>
            <w:r w:rsidRPr="00AE56C2">
              <w:rPr>
                <w:color w:val="000000" w:themeColor="text1"/>
                <w:lang w:val="en-US" w:eastAsia="en-US"/>
              </w:rPr>
              <w:t xml:space="preserve">To approve </w:t>
            </w:r>
            <w:r w:rsidRPr="00AE56C2">
              <w:rPr>
                <w:lang w:val="en-US" w:eastAsia="en-US"/>
              </w:rPr>
              <w:t>budgets for the Committees under the Company’s Board of Directors for the 2</w:t>
            </w:r>
            <w:r w:rsidRPr="00AE56C2">
              <w:rPr>
                <w:vertAlign w:val="superscript"/>
                <w:lang w:val="en-US" w:eastAsia="en-US"/>
              </w:rPr>
              <w:t>nd</w:t>
            </w:r>
            <w:r w:rsidRPr="00AE56C2">
              <w:rPr>
                <w:lang w:val="en-US" w:eastAsia="en-US"/>
              </w:rPr>
              <w:t xml:space="preserve"> half of 2018</w:t>
            </w:r>
            <w:r w:rsidRPr="004D2155">
              <w:rPr>
                <w:lang w:val="en-US" w:eastAsia="en-US"/>
              </w:rPr>
              <w:t xml:space="preserve">, </w:t>
            </w:r>
            <w:r w:rsidRPr="004D2155">
              <w:rPr>
                <w:color w:val="222222"/>
                <w:shd w:val="clear" w:color="auto" w:fill="FFFFFF"/>
                <w:lang w:val="en-US"/>
              </w:rPr>
              <w:t xml:space="preserve">as specified in Annexes </w:t>
            </w:r>
            <w:r>
              <w:rPr>
                <w:color w:val="222222"/>
                <w:shd w:val="clear" w:color="auto" w:fill="FFFFFF"/>
                <w:lang w:val="en-US"/>
              </w:rPr>
              <w:t>11-15</w:t>
            </w:r>
            <w:r w:rsidRPr="004D2155">
              <w:rPr>
                <w:color w:val="222222"/>
                <w:shd w:val="clear" w:color="auto" w:fill="FFFFFF"/>
                <w:lang w:val="en-US"/>
              </w:rPr>
              <w:t xml:space="preserve"> to this resolution of the Company’s Board of Directors</w:t>
            </w:r>
            <w:r>
              <w:rPr>
                <w:color w:val="222222"/>
                <w:shd w:val="clear" w:color="auto" w:fill="FFFFFF"/>
                <w:lang w:val="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0532A" w:rsidRDefault="00B912EE" w:rsidP="00C330C4">
            <w:pPr>
              <w:jc w:val="center"/>
              <w:rPr>
                <w:b/>
                <w:color w:val="000000" w:themeColor="text1"/>
                <w:lang w:val="en-US" w:eastAsia="en-US"/>
              </w:rPr>
            </w:pPr>
            <w:r w:rsidRPr="0020532A">
              <w:rPr>
                <w:b/>
                <w:color w:val="000000" w:themeColor="text1"/>
                <w:lang w:val="en-US" w:eastAsia="en-US"/>
              </w:rPr>
              <w:t xml:space="preserve">Disclosure of insider information </w:t>
            </w:r>
          </w:p>
          <w:p w:rsidR="00B912EE" w:rsidRPr="003574D3" w:rsidRDefault="00B912EE" w:rsidP="00C330C4">
            <w:pPr>
              <w:jc w:val="both"/>
              <w:rPr>
                <w:color w:val="000000" w:themeColor="text1"/>
                <w:lang w:val="en-US" w:eastAsia="en-US"/>
              </w:rPr>
            </w:pPr>
            <w:r w:rsidRPr="0020532A">
              <w:rPr>
                <w:b/>
                <w:color w:val="000000" w:themeColor="text1"/>
                <w:lang w:val="en-US" w:eastAsia="en-US"/>
              </w:rPr>
              <w:t>Item No.</w:t>
            </w:r>
            <w:r>
              <w:rPr>
                <w:b/>
                <w:color w:val="000000" w:themeColor="text1"/>
                <w:lang w:val="en-US" w:eastAsia="en-US"/>
              </w:rPr>
              <w:t xml:space="preserve"> 8 </w:t>
            </w:r>
            <w:r>
              <w:rPr>
                <w:b/>
                <w:color w:val="000000" w:themeColor="text1"/>
                <w:lang w:val="en-US" w:eastAsia="en-US"/>
              </w:rPr>
              <w:t>“</w:t>
            </w:r>
            <w:r w:rsidRPr="00D66D72">
              <w:rPr>
                <w:b/>
                <w:lang w:val="en-US" w:eastAsia="en-US"/>
              </w:rPr>
              <w:t>Discussion of a report from the Director General on implementation of overdue connection contracts for the 2</w:t>
            </w:r>
            <w:r w:rsidRPr="00D66D72">
              <w:rPr>
                <w:b/>
                <w:vertAlign w:val="superscript"/>
                <w:lang w:val="en-US" w:eastAsia="en-US"/>
              </w:rPr>
              <w:t>nd</w:t>
            </w:r>
            <w:r w:rsidRPr="00D66D72">
              <w:rPr>
                <w:b/>
                <w:lang w:val="en-US" w:eastAsia="en-US"/>
              </w:rPr>
              <w:t xml:space="preserve"> quarter of 2018</w:t>
            </w:r>
            <w:r>
              <w:rPr>
                <w:b/>
                <w:color w:val="000000" w:themeColor="text1"/>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C330C4" w:rsidRDefault="00B912EE" w:rsidP="00C330C4">
            <w:pPr>
              <w:jc w:val="both"/>
              <w:rPr>
                <w:color w:val="000000" w:themeColor="text1"/>
                <w:lang w:val="en-US" w:eastAsia="en-US"/>
              </w:rPr>
            </w:pPr>
            <w:r w:rsidRPr="00C330C4">
              <w:rPr>
                <w:color w:val="000000" w:themeColor="text1"/>
                <w:lang w:val="en-US" w:eastAsia="en-US"/>
              </w:rPr>
              <w:t>2.2.</w:t>
            </w:r>
            <w:r w:rsidRPr="00C330C4">
              <w:rPr>
                <w:color w:val="000000" w:themeColor="text1"/>
                <w:lang w:val="en-US" w:eastAsia="en-US"/>
              </w:rPr>
              <w:t>8</w:t>
            </w:r>
            <w:r w:rsidRPr="00C330C4">
              <w:rPr>
                <w:color w:val="000000" w:themeColor="text1"/>
                <w:lang w:val="en-US" w:eastAsia="en-US"/>
              </w:rPr>
              <w:t>.  Decision adopted by the issuer’s Board of Directors:</w:t>
            </w:r>
          </w:p>
          <w:p w:rsidR="00B912EE" w:rsidRDefault="00C330C4" w:rsidP="00C330C4">
            <w:pPr>
              <w:jc w:val="both"/>
              <w:rPr>
                <w:color w:val="222222"/>
                <w:shd w:val="clear" w:color="auto" w:fill="FFFFFF"/>
                <w:lang w:val="en-US"/>
              </w:rPr>
            </w:pPr>
            <w:r w:rsidRPr="00C330C4">
              <w:rPr>
                <w:color w:val="000000" w:themeColor="text1"/>
                <w:lang w:val="en-US" w:eastAsia="en-US"/>
              </w:rPr>
              <w:t xml:space="preserve">1. </w:t>
            </w:r>
            <w:r w:rsidRPr="00C330C4">
              <w:rPr>
                <w:color w:val="000000" w:themeColor="text1"/>
                <w:lang w:val="en-US" w:eastAsia="en-US"/>
              </w:rPr>
              <w:t>To take note of the</w:t>
            </w:r>
            <w:r w:rsidRPr="00C330C4">
              <w:rPr>
                <w:lang w:val="en-US" w:eastAsia="en-US"/>
              </w:rPr>
              <w:t xml:space="preserve"> </w:t>
            </w:r>
            <w:r w:rsidRPr="00C330C4">
              <w:rPr>
                <w:lang w:val="en-US" w:eastAsia="en-US"/>
              </w:rPr>
              <w:t>report from the Director General on implementation of overdue connection contracts for the 2</w:t>
            </w:r>
            <w:r w:rsidRPr="00C330C4">
              <w:rPr>
                <w:vertAlign w:val="superscript"/>
                <w:lang w:val="en-US" w:eastAsia="en-US"/>
              </w:rPr>
              <w:t>nd</w:t>
            </w:r>
            <w:r w:rsidRPr="00C330C4">
              <w:rPr>
                <w:lang w:val="en-US" w:eastAsia="en-US"/>
              </w:rPr>
              <w:t xml:space="preserve"> quarter of 2018</w:t>
            </w:r>
            <w:r w:rsidRPr="004D2155">
              <w:rPr>
                <w:lang w:val="en-US" w:eastAsia="en-US"/>
              </w:rPr>
              <w:t xml:space="preserve">, </w:t>
            </w:r>
            <w:r w:rsidRPr="004D2155">
              <w:rPr>
                <w:color w:val="222222"/>
                <w:shd w:val="clear" w:color="auto" w:fill="FFFFFF"/>
                <w:lang w:val="en-US"/>
              </w:rPr>
              <w:t xml:space="preserve">as specified in Annex </w:t>
            </w:r>
            <w:r>
              <w:rPr>
                <w:color w:val="222222"/>
                <w:shd w:val="clear" w:color="auto" w:fill="FFFFFF"/>
                <w:lang w:val="en-US"/>
              </w:rPr>
              <w:t>16</w:t>
            </w:r>
            <w:r w:rsidRPr="004D2155">
              <w:rPr>
                <w:color w:val="222222"/>
                <w:shd w:val="clear" w:color="auto" w:fill="FFFFFF"/>
                <w:lang w:val="en-US"/>
              </w:rPr>
              <w:t xml:space="preserve"> to this resolution of the Company’s Board of Directors</w:t>
            </w:r>
            <w:r>
              <w:rPr>
                <w:color w:val="222222"/>
                <w:shd w:val="clear" w:color="auto" w:fill="FFFFFF"/>
                <w:lang w:val="en-US"/>
              </w:rPr>
              <w:t>.</w:t>
            </w:r>
          </w:p>
          <w:p w:rsidR="00C330C4" w:rsidRPr="00C330C4" w:rsidRDefault="00C330C4" w:rsidP="00C330C4">
            <w:pPr>
              <w:jc w:val="both"/>
              <w:rPr>
                <w:color w:val="000000" w:themeColor="text1"/>
                <w:lang w:val="en-US" w:eastAsia="en-US"/>
              </w:rPr>
            </w:pPr>
            <w:r>
              <w:rPr>
                <w:color w:val="222222"/>
                <w:shd w:val="clear" w:color="auto" w:fill="FFFFFF"/>
                <w:lang w:val="en-US"/>
              </w:rPr>
              <w:t xml:space="preserve">2. </w:t>
            </w:r>
            <w:r w:rsidRPr="00C330C4">
              <w:rPr>
                <w:color w:val="222222"/>
                <w:shd w:val="clear" w:color="auto" w:fill="FFFFFF"/>
                <w:lang w:val="en-US"/>
              </w:rPr>
              <w:t xml:space="preserve">To recommend the management of Kubanenergo PJSC to ensure </w:t>
            </w:r>
            <w:r>
              <w:rPr>
                <w:color w:val="222222"/>
                <w:shd w:val="clear" w:color="auto" w:fill="FFFFFF"/>
                <w:lang w:val="en-US"/>
              </w:rPr>
              <w:t>observance</w:t>
            </w:r>
            <w:r w:rsidRPr="00C330C4">
              <w:rPr>
                <w:color w:val="222222"/>
                <w:shd w:val="clear" w:color="auto" w:fill="FFFFFF"/>
                <w:lang w:val="en-US"/>
              </w:rPr>
              <w:t xml:space="preserve"> of the schedule, including </w:t>
            </w:r>
            <w:r>
              <w:rPr>
                <w:color w:val="222222"/>
                <w:shd w:val="clear" w:color="auto" w:fill="FFFFFF"/>
                <w:lang w:val="en-US"/>
              </w:rPr>
              <w:t>the</w:t>
            </w:r>
            <w:r w:rsidRPr="00C330C4">
              <w:rPr>
                <w:color w:val="222222"/>
                <w:shd w:val="clear" w:color="auto" w:fill="FFFFFF"/>
                <w:lang w:val="en-US"/>
              </w:rPr>
              <w:t xml:space="preserve"> </w:t>
            </w:r>
            <w:r>
              <w:rPr>
                <w:color w:val="222222"/>
                <w:shd w:val="clear" w:color="auto" w:fill="FFFFFF"/>
                <w:lang w:val="en-US"/>
              </w:rPr>
              <w:t>projects</w:t>
            </w:r>
            <w:r w:rsidRPr="00C330C4">
              <w:rPr>
                <w:color w:val="222222"/>
                <w:shd w:val="clear" w:color="auto" w:fill="FFFFFF"/>
                <w:lang w:val="en-US"/>
              </w:rPr>
              <w:t xml:space="preserve"> </w:t>
            </w:r>
            <w:r>
              <w:rPr>
                <w:color w:val="222222"/>
                <w:shd w:val="clear" w:color="auto" w:fill="FFFFFF"/>
                <w:lang w:val="en-US"/>
              </w:rPr>
              <w:t>that were not</w:t>
            </w:r>
            <w:r w:rsidRPr="00C330C4">
              <w:rPr>
                <w:color w:val="222222"/>
                <w:shd w:val="clear" w:color="auto" w:fill="FFFFFF"/>
                <w:lang w:val="en-US"/>
              </w:rPr>
              <w:t xml:space="preserve"> implemented in 1</w:t>
            </w:r>
            <w:r w:rsidRPr="00C330C4">
              <w:rPr>
                <w:color w:val="222222"/>
                <w:shd w:val="clear" w:color="auto" w:fill="FFFFFF"/>
                <w:vertAlign w:val="superscript"/>
                <w:lang w:val="en-US"/>
              </w:rPr>
              <w:t>st</w:t>
            </w:r>
            <w:r>
              <w:rPr>
                <w:color w:val="222222"/>
                <w:shd w:val="clear" w:color="auto" w:fill="FFFFFF"/>
                <w:lang w:val="en-US"/>
              </w:rPr>
              <w:t xml:space="preserve"> and 2</w:t>
            </w:r>
            <w:r w:rsidRPr="00C330C4">
              <w:rPr>
                <w:color w:val="222222"/>
                <w:shd w:val="clear" w:color="auto" w:fill="FFFFFF"/>
                <w:vertAlign w:val="superscript"/>
                <w:lang w:val="en-US"/>
              </w:rPr>
              <w:t>nd</w:t>
            </w:r>
            <w:r>
              <w:rPr>
                <w:color w:val="222222"/>
                <w:shd w:val="clear" w:color="auto" w:fill="FFFFFF"/>
                <w:lang w:val="en-US"/>
              </w:rPr>
              <w:t xml:space="preserve"> </w:t>
            </w:r>
            <w:r w:rsidRPr="00C330C4">
              <w:rPr>
                <w:color w:val="222222"/>
                <w:shd w:val="clear" w:color="auto" w:fill="FFFFFF"/>
                <w:lang w:val="en-US"/>
              </w:rPr>
              <w:t>quarters of 2018.</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0532A" w:rsidRDefault="00B912EE" w:rsidP="00C330C4">
            <w:pPr>
              <w:jc w:val="center"/>
              <w:rPr>
                <w:b/>
                <w:color w:val="000000" w:themeColor="text1"/>
                <w:lang w:val="en-US" w:eastAsia="en-US"/>
              </w:rPr>
            </w:pPr>
            <w:r w:rsidRPr="0020532A">
              <w:rPr>
                <w:b/>
                <w:color w:val="000000" w:themeColor="text1"/>
                <w:lang w:val="en-US" w:eastAsia="en-US"/>
              </w:rPr>
              <w:t xml:space="preserve">Disclosure of insider information </w:t>
            </w:r>
          </w:p>
          <w:p w:rsidR="00B912EE" w:rsidRPr="003574D3" w:rsidRDefault="00B912EE" w:rsidP="00C330C4">
            <w:pPr>
              <w:jc w:val="both"/>
              <w:rPr>
                <w:color w:val="000000" w:themeColor="text1"/>
                <w:lang w:val="en-US" w:eastAsia="en-US"/>
              </w:rPr>
            </w:pPr>
            <w:r w:rsidRPr="0020532A">
              <w:rPr>
                <w:b/>
                <w:color w:val="000000" w:themeColor="text1"/>
                <w:lang w:val="en-US" w:eastAsia="en-US"/>
              </w:rPr>
              <w:t>Item No.</w:t>
            </w:r>
            <w:r>
              <w:rPr>
                <w:b/>
                <w:color w:val="000000" w:themeColor="text1"/>
                <w:lang w:val="en-US" w:eastAsia="en-US"/>
              </w:rPr>
              <w:t xml:space="preserve"> 9 </w:t>
            </w:r>
            <w:r>
              <w:rPr>
                <w:b/>
                <w:color w:val="000000" w:themeColor="text1"/>
                <w:lang w:val="en-US" w:eastAsia="en-US"/>
              </w:rPr>
              <w:t>“</w:t>
            </w:r>
            <w:r w:rsidRPr="00D66D72">
              <w:rPr>
                <w:b/>
                <w:lang w:val="en-US" w:eastAsia="en-US"/>
              </w:rPr>
              <w:t>Approval of the Programme of non-state pension provision for employees of Kubanenergo PJSC</w:t>
            </w:r>
            <w:r>
              <w:rPr>
                <w:b/>
                <w:color w:val="000000" w:themeColor="text1"/>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C330C4" w:rsidRDefault="00B912EE" w:rsidP="00C330C4">
            <w:pPr>
              <w:jc w:val="both"/>
              <w:rPr>
                <w:color w:val="000000" w:themeColor="text1"/>
                <w:lang w:val="en-US" w:eastAsia="en-US"/>
              </w:rPr>
            </w:pPr>
            <w:r w:rsidRPr="00C330C4">
              <w:rPr>
                <w:color w:val="000000" w:themeColor="text1"/>
                <w:lang w:val="en-US" w:eastAsia="en-US"/>
              </w:rPr>
              <w:t>2.2.</w:t>
            </w:r>
            <w:r w:rsidRPr="00C330C4">
              <w:rPr>
                <w:color w:val="000000" w:themeColor="text1"/>
                <w:lang w:val="en-US" w:eastAsia="en-US"/>
              </w:rPr>
              <w:t>9</w:t>
            </w:r>
            <w:r w:rsidRPr="00C330C4">
              <w:rPr>
                <w:color w:val="000000" w:themeColor="text1"/>
                <w:lang w:val="en-US" w:eastAsia="en-US"/>
              </w:rPr>
              <w:t>.  Decision adopted by the issuer’s Board of Directors:</w:t>
            </w:r>
          </w:p>
          <w:p w:rsidR="00B912EE" w:rsidRPr="00C330C4" w:rsidRDefault="00C330C4" w:rsidP="00C330C4">
            <w:pPr>
              <w:jc w:val="both"/>
              <w:rPr>
                <w:color w:val="222222"/>
                <w:shd w:val="clear" w:color="auto" w:fill="FFFFFF"/>
                <w:lang w:val="en-US"/>
              </w:rPr>
            </w:pPr>
            <w:r w:rsidRPr="00C330C4">
              <w:rPr>
                <w:color w:val="000000" w:themeColor="text1"/>
                <w:lang w:val="en-US" w:eastAsia="en-US"/>
              </w:rPr>
              <w:t xml:space="preserve">To approve </w:t>
            </w:r>
            <w:r w:rsidRPr="00C330C4">
              <w:rPr>
                <w:lang w:val="en-US" w:eastAsia="en-US"/>
              </w:rPr>
              <w:t>the Programme of non-state pension provision for employees of Kubanenergo PJSC</w:t>
            </w:r>
            <w:r w:rsidRPr="004D2155">
              <w:rPr>
                <w:lang w:val="en-US" w:eastAsia="en-US"/>
              </w:rPr>
              <w:t xml:space="preserve">, </w:t>
            </w:r>
            <w:r w:rsidRPr="004D2155">
              <w:rPr>
                <w:color w:val="222222"/>
                <w:shd w:val="clear" w:color="auto" w:fill="FFFFFF"/>
                <w:lang w:val="en-US"/>
              </w:rPr>
              <w:t xml:space="preserve">as specified in Annex </w:t>
            </w:r>
            <w:r>
              <w:rPr>
                <w:color w:val="222222"/>
                <w:shd w:val="clear" w:color="auto" w:fill="FFFFFF"/>
                <w:lang w:val="en-US"/>
              </w:rPr>
              <w:t>1</w:t>
            </w:r>
            <w:r>
              <w:rPr>
                <w:color w:val="222222"/>
                <w:shd w:val="clear" w:color="auto" w:fill="FFFFFF"/>
                <w:lang w:val="en-US"/>
              </w:rPr>
              <w:t>7</w:t>
            </w:r>
            <w:r w:rsidRPr="004D2155">
              <w:rPr>
                <w:color w:val="222222"/>
                <w:shd w:val="clear" w:color="auto" w:fill="FFFFFF"/>
                <w:lang w:val="en-US"/>
              </w:rPr>
              <w:t xml:space="preserve"> to this resolution of the Company’s Board of Directors</w:t>
            </w:r>
            <w:r>
              <w:rPr>
                <w:color w:val="222222"/>
                <w:shd w:val="clear" w:color="auto" w:fill="FFFFFF"/>
                <w:lang w:val="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0532A" w:rsidRDefault="00B912EE" w:rsidP="00C330C4">
            <w:pPr>
              <w:jc w:val="center"/>
              <w:rPr>
                <w:b/>
                <w:color w:val="000000" w:themeColor="text1"/>
                <w:lang w:val="en-US" w:eastAsia="en-US"/>
              </w:rPr>
            </w:pPr>
            <w:r w:rsidRPr="0020532A">
              <w:rPr>
                <w:b/>
                <w:color w:val="000000" w:themeColor="text1"/>
                <w:lang w:val="en-US" w:eastAsia="en-US"/>
              </w:rPr>
              <w:t xml:space="preserve">Disclosure of insider information </w:t>
            </w:r>
          </w:p>
          <w:p w:rsidR="00B912EE" w:rsidRPr="003574D3" w:rsidRDefault="00B912EE" w:rsidP="00C330C4">
            <w:pPr>
              <w:jc w:val="both"/>
              <w:rPr>
                <w:color w:val="000000" w:themeColor="text1"/>
                <w:lang w:val="en-US" w:eastAsia="en-US"/>
              </w:rPr>
            </w:pPr>
            <w:r w:rsidRPr="0020532A">
              <w:rPr>
                <w:b/>
                <w:color w:val="000000" w:themeColor="text1"/>
                <w:lang w:val="en-US" w:eastAsia="en-US"/>
              </w:rPr>
              <w:t>Item No.</w:t>
            </w:r>
            <w:r>
              <w:rPr>
                <w:b/>
                <w:color w:val="000000" w:themeColor="text1"/>
                <w:lang w:val="en-US" w:eastAsia="en-US"/>
              </w:rPr>
              <w:t xml:space="preserve"> 10 </w:t>
            </w:r>
            <w:r>
              <w:rPr>
                <w:b/>
                <w:color w:val="000000" w:themeColor="text1"/>
                <w:lang w:val="en-US" w:eastAsia="en-US"/>
              </w:rPr>
              <w:t>“</w:t>
            </w:r>
            <w:r w:rsidRPr="00D66D72">
              <w:rPr>
                <w:b/>
                <w:lang w:val="en-US" w:eastAsia="en-US"/>
              </w:rPr>
              <w:t>Discussion of a report from the Director General on the Company’s insurance provision for the 3</w:t>
            </w:r>
            <w:r w:rsidRPr="00D66D72">
              <w:rPr>
                <w:b/>
                <w:vertAlign w:val="superscript"/>
                <w:lang w:val="en-US" w:eastAsia="en-US"/>
              </w:rPr>
              <w:t>rd</w:t>
            </w:r>
            <w:r w:rsidRPr="00D66D72">
              <w:rPr>
                <w:b/>
                <w:lang w:val="en-US" w:eastAsia="en-US"/>
              </w:rPr>
              <w:t xml:space="preserve"> quarter of 2018</w:t>
            </w:r>
            <w:r>
              <w:rPr>
                <w:b/>
                <w:color w:val="000000" w:themeColor="text1"/>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C330C4" w:rsidRDefault="00B912EE" w:rsidP="00C330C4">
            <w:pPr>
              <w:jc w:val="both"/>
              <w:rPr>
                <w:color w:val="000000" w:themeColor="text1"/>
                <w:lang w:val="en-US" w:eastAsia="en-US"/>
              </w:rPr>
            </w:pPr>
            <w:r w:rsidRPr="00C330C4">
              <w:rPr>
                <w:color w:val="000000" w:themeColor="text1"/>
                <w:lang w:val="en-US" w:eastAsia="en-US"/>
              </w:rPr>
              <w:t>2.2.</w:t>
            </w:r>
            <w:r w:rsidRPr="00C330C4">
              <w:rPr>
                <w:color w:val="000000" w:themeColor="text1"/>
                <w:lang w:val="en-US" w:eastAsia="en-US"/>
              </w:rPr>
              <w:t>10</w:t>
            </w:r>
            <w:r w:rsidRPr="00C330C4">
              <w:rPr>
                <w:color w:val="000000" w:themeColor="text1"/>
                <w:lang w:val="en-US" w:eastAsia="en-US"/>
              </w:rPr>
              <w:t>.  Decision adopted by the issuer’s Board of Directors:</w:t>
            </w:r>
          </w:p>
          <w:p w:rsidR="00B912EE" w:rsidRPr="00C330C4" w:rsidRDefault="00C330C4" w:rsidP="00C330C4">
            <w:pPr>
              <w:jc w:val="both"/>
              <w:rPr>
                <w:color w:val="000000" w:themeColor="text1"/>
                <w:lang w:val="en-US" w:eastAsia="en-US"/>
              </w:rPr>
            </w:pPr>
            <w:r w:rsidRPr="00C330C4">
              <w:rPr>
                <w:color w:val="000000" w:themeColor="text1"/>
                <w:lang w:val="en-US" w:eastAsia="en-US"/>
              </w:rPr>
              <w:t>To take note of the</w:t>
            </w:r>
            <w:r w:rsidRPr="00C330C4">
              <w:rPr>
                <w:lang w:val="en-US" w:eastAsia="en-US"/>
              </w:rPr>
              <w:t xml:space="preserve"> </w:t>
            </w:r>
            <w:r w:rsidRPr="00C330C4">
              <w:rPr>
                <w:lang w:val="en-US" w:eastAsia="en-US"/>
              </w:rPr>
              <w:t>report from the Director General on the Company’s insurance provision for the 3</w:t>
            </w:r>
            <w:r w:rsidRPr="00C330C4">
              <w:rPr>
                <w:vertAlign w:val="superscript"/>
                <w:lang w:val="en-US" w:eastAsia="en-US"/>
              </w:rPr>
              <w:t>rd</w:t>
            </w:r>
            <w:r w:rsidRPr="00C330C4">
              <w:rPr>
                <w:lang w:val="en-US" w:eastAsia="en-US"/>
              </w:rPr>
              <w:t xml:space="preserve"> quarter of 2018, </w:t>
            </w:r>
            <w:r w:rsidRPr="00C330C4">
              <w:rPr>
                <w:color w:val="222222"/>
                <w:shd w:val="clear" w:color="auto" w:fill="FFFFFF"/>
                <w:lang w:val="en-US"/>
              </w:rPr>
              <w:t>as specified in Annex 1</w:t>
            </w:r>
            <w:r w:rsidRPr="00C330C4">
              <w:rPr>
                <w:color w:val="222222"/>
                <w:shd w:val="clear" w:color="auto" w:fill="FFFFFF"/>
                <w:lang w:val="en-US"/>
              </w:rPr>
              <w:t>8</w:t>
            </w:r>
            <w:r w:rsidRPr="00C330C4">
              <w:rPr>
                <w:color w:val="222222"/>
                <w:shd w:val="clear" w:color="auto" w:fill="FFFFFF"/>
                <w:lang w:val="en-US"/>
              </w:rPr>
              <w:t xml:space="preserve"> to this resolution of the Company’s Board of Directors.</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20532A" w:rsidRDefault="00B912EE" w:rsidP="00C330C4">
            <w:pPr>
              <w:jc w:val="center"/>
              <w:rPr>
                <w:b/>
                <w:color w:val="000000" w:themeColor="text1"/>
                <w:lang w:val="en-US" w:eastAsia="en-US"/>
              </w:rPr>
            </w:pPr>
            <w:r w:rsidRPr="0020532A">
              <w:rPr>
                <w:b/>
                <w:color w:val="000000" w:themeColor="text1"/>
                <w:lang w:val="en-US" w:eastAsia="en-US"/>
              </w:rPr>
              <w:lastRenderedPageBreak/>
              <w:t xml:space="preserve">Disclosure of insider information </w:t>
            </w:r>
          </w:p>
          <w:p w:rsidR="00B912EE" w:rsidRPr="003574D3" w:rsidRDefault="00B912EE" w:rsidP="00C330C4">
            <w:pPr>
              <w:jc w:val="both"/>
              <w:rPr>
                <w:color w:val="000000" w:themeColor="text1"/>
                <w:lang w:val="en-US" w:eastAsia="en-US"/>
              </w:rPr>
            </w:pPr>
            <w:r w:rsidRPr="0020532A">
              <w:rPr>
                <w:b/>
                <w:color w:val="000000" w:themeColor="text1"/>
                <w:lang w:val="en-US" w:eastAsia="en-US"/>
              </w:rPr>
              <w:t>Item No.</w:t>
            </w:r>
            <w:r>
              <w:rPr>
                <w:b/>
                <w:color w:val="000000" w:themeColor="text1"/>
                <w:lang w:val="en-US" w:eastAsia="en-US"/>
              </w:rPr>
              <w:t xml:space="preserve"> 1</w:t>
            </w:r>
            <w:r>
              <w:rPr>
                <w:b/>
                <w:color w:val="000000" w:themeColor="text1"/>
                <w:lang w:val="en-US" w:eastAsia="en-US"/>
              </w:rPr>
              <w:t xml:space="preserve">1 </w:t>
            </w:r>
            <w:r>
              <w:rPr>
                <w:b/>
                <w:color w:val="000000" w:themeColor="text1"/>
                <w:lang w:val="en-US" w:eastAsia="en-US"/>
              </w:rPr>
              <w:t>“</w:t>
            </w:r>
            <w:r w:rsidRPr="00D66D72">
              <w:rPr>
                <w:b/>
                <w:lang w:val="en-US" w:eastAsia="en-US"/>
              </w:rPr>
              <w:t>Approval of a report on the Company’s Director General observing the KPI “Efficiency of innovation activity”</w:t>
            </w:r>
            <w:r>
              <w:rPr>
                <w:b/>
                <w:color w:val="000000" w:themeColor="text1"/>
                <w:lang w:val="en-US" w:eastAsia="en-US"/>
              </w:rPr>
              <w:t>”</w:t>
            </w:r>
          </w:p>
        </w:tc>
      </w:tr>
      <w:tr w:rsidR="00B912EE" w:rsidRPr="00B912EE" w:rsidTr="00C330C4">
        <w:tc>
          <w:tcPr>
            <w:tcW w:w="9498" w:type="dxa"/>
            <w:gridSpan w:val="2"/>
            <w:tcBorders>
              <w:top w:val="single" w:sz="4" w:space="0" w:color="auto"/>
              <w:left w:val="single" w:sz="4" w:space="0" w:color="auto"/>
              <w:bottom w:val="single" w:sz="4" w:space="0" w:color="auto"/>
              <w:right w:val="single" w:sz="4" w:space="0" w:color="auto"/>
            </w:tcBorders>
          </w:tcPr>
          <w:p w:rsidR="00B912EE" w:rsidRPr="00C330C4" w:rsidRDefault="00B912EE" w:rsidP="00C330C4">
            <w:pPr>
              <w:jc w:val="both"/>
              <w:rPr>
                <w:color w:val="000000" w:themeColor="text1"/>
                <w:lang w:val="en-US" w:eastAsia="en-US"/>
              </w:rPr>
            </w:pPr>
            <w:r w:rsidRPr="00C330C4">
              <w:rPr>
                <w:color w:val="000000" w:themeColor="text1"/>
                <w:lang w:val="en-US" w:eastAsia="en-US"/>
              </w:rPr>
              <w:t>2.2.</w:t>
            </w:r>
            <w:r w:rsidRPr="00C330C4">
              <w:rPr>
                <w:color w:val="000000" w:themeColor="text1"/>
                <w:lang w:val="en-US" w:eastAsia="en-US"/>
              </w:rPr>
              <w:t>11</w:t>
            </w:r>
            <w:r w:rsidRPr="00C330C4">
              <w:rPr>
                <w:color w:val="000000" w:themeColor="text1"/>
                <w:lang w:val="en-US" w:eastAsia="en-US"/>
              </w:rPr>
              <w:t>.  Decision adopted by the issuer’s Board of Directors:</w:t>
            </w:r>
          </w:p>
          <w:p w:rsidR="00B912EE" w:rsidRPr="00C330C4" w:rsidRDefault="00C330C4" w:rsidP="00C330C4">
            <w:pPr>
              <w:jc w:val="both"/>
              <w:rPr>
                <w:color w:val="000000" w:themeColor="text1"/>
                <w:lang w:val="en-US" w:eastAsia="en-US"/>
              </w:rPr>
            </w:pPr>
            <w:r w:rsidRPr="00C330C4">
              <w:rPr>
                <w:color w:val="000000" w:themeColor="text1"/>
                <w:lang w:val="en-US" w:eastAsia="en-US"/>
              </w:rPr>
              <w:t>To approve</w:t>
            </w:r>
            <w:r w:rsidRPr="00C330C4">
              <w:rPr>
                <w:color w:val="000000" w:themeColor="text1"/>
                <w:lang w:val="en-US" w:eastAsia="en-US"/>
              </w:rPr>
              <w:t xml:space="preserve"> the </w:t>
            </w:r>
            <w:r w:rsidRPr="00C330C4">
              <w:rPr>
                <w:lang w:val="en-US" w:eastAsia="en-US"/>
              </w:rPr>
              <w:t>report on the Company’s Director General observing the KPI “Efficiency of innovation activity”</w:t>
            </w:r>
            <w:r w:rsidRPr="00C330C4">
              <w:rPr>
                <w:lang w:val="en-US" w:eastAsia="en-US"/>
              </w:rPr>
              <w:t xml:space="preserve"> </w:t>
            </w:r>
            <w:r w:rsidRPr="00C330C4">
              <w:rPr>
                <w:lang w:val="en-US" w:eastAsia="en-US"/>
              </w:rPr>
              <w:t xml:space="preserve">, </w:t>
            </w:r>
            <w:r w:rsidRPr="00C330C4">
              <w:rPr>
                <w:color w:val="222222"/>
                <w:shd w:val="clear" w:color="auto" w:fill="FFFFFF"/>
                <w:lang w:val="en-US"/>
              </w:rPr>
              <w:t>as specified in Annex 1</w:t>
            </w:r>
            <w:r w:rsidRPr="00C330C4">
              <w:rPr>
                <w:color w:val="222222"/>
                <w:shd w:val="clear" w:color="auto" w:fill="FFFFFF"/>
                <w:lang w:val="en-US"/>
              </w:rPr>
              <w:t>9</w:t>
            </w:r>
            <w:r w:rsidRPr="00C330C4">
              <w:rPr>
                <w:color w:val="222222"/>
                <w:shd w:val="clear" w:color="auto" w:fill="FFFFFF"/>
                <w:lang w:val="en-US"/>
              </w:rPr>
              <w:t xml:space="preserve"> to this resolution of the Company’s Board of Directors.</w:t>
            </w:r>
          </w:p>
        </w:tc>
      </w:tr>
      <w:tr w:rsidR="0039053B" w:rsidRPr="00B912EE" w:rsidTr="00C330C4">
        <w:trPr>
          <w:trHeight w:val="185"/>
        </w:trPr>
        <w:tc>
          <w:tcPr>
            <w:tcW w:w="9498" w:type="dxa"/>
            <w:gridSpan w:val="2"/>
            <w:tcBorders>
              <w:top w:val="single" w:sz="4" w:space="0" w:color="auto"/>
              <w:left w:val="single" w:sz="4" w:space="0" w:color="auto"/>
              <w:bottom w:val="single" w:sz="4" w:space="0" w:color="auto"/>
              <w:right w:val="single" w:sz="4" w:space="0" w:color="auto"/>
            </w:tcBorders>
            <w:hideMark/>
          </w:tcPr>
          <w:p w:rsidR="0039053B" w:rsidRPr="00BB7936" w:rsidRDefault="0039053B" w:rsidP="00C330C4">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39053B" w:rsidRPr="00BB7936" w:rsidRDefault="00C330C4" w:rsidP="00C330C4">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w:t>
            </w:r>
            <w:r w:rsidR="00D70BB8">
              <w:rPr>
                <w:rFonts w:ascii="Times New Roman" w:hAnsi="Times New Roman" w:cs="Times New Roman"/>
                <w:b/>
                <w:color w:val="000000" w:themeColor="text1"/>
                <w:sz w:val="24"/>
                <w:szCs w:val="24"/>
                <w:lang w:val="en-US"/>
              </w:rPr>
              <w:t xml:space="preserve"> December</w:t>
            </w:r>
            <w:r w:rsidR="0039053B" w:rsidRPr="00BB7936">
              <w:rPr>
                <w:rFonts w:ascii="Times New Roman" w:hAnsi="Times New Roman" w:cs="Times New Roman"/>
                <w:b/>
                <w:color w:val="000000" w:themeColor="text1"/>
                <w:sz w:val="24"/>
                <w:szCs w:val="24"/>
                <w:lang w:val="en-US"/>
              </w:rPr>
              <w:t xml:space="preserve"> 2018</w:t>
            </w:r>
          </w:p>
          <w:p w:rsidR="0039053B" w:rsidRPr="00BB7936" w:rsidRDefault="0039053B" w:rsidP="00C330C4">
            <w:pPr>
              <w:jc w:val="both"/>
              <w:rPr>
                <w:color w:val="000000" w:themeColor="text1"/>
                <w:lang w:val="en-US" w:eastAsia="en-US"/>
              </w:rPr>
            </w:pPr>
            <w:r w:rsidRPr="00BB7936">
              <w:rPr>
                <w:color w:val="000000" w:themeColor="text1"/>
                <w:lang w:val="en-US" w:eastAsia="en-US"/>
              </w:rPr>
              <w:t xml:space="preserve">2.4. Date of making and number of minutes of meeting which adopted the resolutions: </w:t>
            </w:r>
            <w:r w:rsidR="00C330C4">
              <w:rPr>
                <w:b/>
                <w:color w:val="000000" w:themeColor="text1"/>
                <w:lang w:val="en-US" w:eastAsia="en-US"/>
              </w:rPr>
              <w:t>19</w:t>
            </w:r>
            <w:r w:rsidR="00D70BB8">
              <w:rPr>
                <w:b/>
                <w:color w:val="000000" w:themeColor="text1"/>
                <w:lang w:val="en-US" w:eastAsia="en-US"/>
              </w:rPr>
              <w:t xml:space="preserve"> December</w:t>
            </w:r>
            <w:r w:rsidRPr="00BB7936">
              <w:rPr>
                <w:b/>
                <w:color w:val="000000" w:themeColor="text1"/>
                <w:lang w:val="en-US" w:eastAsia="en-US"/>
              </w:rPr>
              <w:t xml:space="preserve"> 2018, minutes of meeting No.3</w:t>
            </w:r>
            <w:r>
              <w:rPr>
                <w:b/>
                <w:color w:val="000000" w:themeColor="text1"/>
                <w:lang w:val="en-US" w:eastAsia="en-US"/>
              </w:rPr>
              <w:t>2</w:t>
            </w:r>
            <w:r w:rsidR="00C330C4">
              <w:rPr>
                <w:b/>
                <w:color w:val="000000" w:themeColor="text1"/>
                <w:lang w:val="en-US" w:eastAsia="en-US"/>
              </w:rPr>
              <w:t>3</w:t>
            </w:r>
            <w:r w:rsidRPr="00BB7936">
              <w:rPr>
                <w:b/>
                <w:color w:val="000000" w:themeColor="text1"/>
                <w:lang w:val="en-US" w:eastAsia="en-US"/>
              </w:rPr>
              <w:t>/2018.</w:t>
            </w:r>
          </w:p>
        </w:tc>
      </w:tr>
    </w:tbl>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1976"/>
        <w:gridCol w:w="2273"/>
      </w:tblGrid>
      <w:tr w:rsidR="00D70BB8" w:rsidRPr="008D7EDB" w:rsidTr="00C330C4">
        <w:trPr>
          <w:cantSplit/>
        </w:trPr>
        <w:tc>
          <w:tcPr>
            <w:tcW w:w="94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70BB8" w:rsidRDefault="00D70BB8" w:rsidP="00C330C4">
            <w:pPr>
              <w:tabs>
                <w:tab w:val="left" w:pos="142"/>
                <w:tab w:val="left" w:pos="9465"/>
              </w:tabs>
              <w:spacing w:line="252" w:lineRule="auto"/>
              <w:ind w:right="189"/>
              <w:jc w:val="center"/>
              <w:rPr>
                <w:lang w:val="en-US" w:eastAsia="en-US"/>
              </w:rPr>
            </w:pPr>
            <w:r>
              <w:rPr>
                <w:lang w:val="en-US" w:eastAsia="en-US"/>
              </w:rPr>
              <w:t xml:space="preserve">3. Signature </w:t>
            </w:r>
          </w:p>
        </w:tc>
      </w:tr>
      <w:tr w:rsidR="00D70BB8" w:rsidTr="00C330C4">
        <w:trPr>
          <w:cantSplit/>
          <w:trHeight w:val="1187"/>
        </w:trPr>
        <w:tc>
          <w:tcPr>
            <w:tcW w:w="5249" w:type="dxa"/>
            <w:tcBorders>
              <w:top w:val="single" w:sz="4" w:space="0" w:color="auto"/>
              <w:left w:val="single" w:sz="4" w:space="0" w:color="auto"/>
              <w:bottom w:val="nil"/>
              <w:right w:val="nil"/>
            </w:tcBorders>
            <w:tcMar>
              <w:top w:w="0" w:type="dxa"/>
              <w:left w:w="28" w:type="dxa"/>
              <w:bottom w:w="0" w:type="dxa"/>
              <w:right w:w="28" w:type="dxa"/>
            </w:tcMar>
            <w:vAlign w:val="bottom"/>
          </w:tcPr>
          <w:p w:rsidR="00D70BB8" w:rsidRDefault="00D70BB8" w:rsidP="00C330C4">
            <w:pPr>
              <w:pStyle w:val="Default"/>
              <w:spacing w:line="252" w:lineRule="auto"/>
              <w:jc w:val="both"/>
              <w:rPr>
                <w:color w:val="auto"/>
                <w:lang w:val="en-US"/>
              </w:rPr>
            </w:pPr>
            <w:r>
              <w:rPr>
                <w:color w:val="auto"/>
                <w:lang w:val="en-US"/>
              </w:rPr>
              <w:t xml:space="preserve">3.1 Head of Corporate Governance and Shareholder Relations Department (by power of attorney No.119/10-946 </w:t>
            </w:r>
            <w:r>
              <w:rPr>
                <w:lang w:val="en-US"/>
              </w:rPr>
              <w:t>of 22.02.2018)</w:t>
            </w:r>
          </w:p>
          <w:p w:rsidR="00D70BB8" w:rsidRDefault="00D70BB8" w:rsidP="00C330C4">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D70BB8" w:rsidRPr="007A4A1C" w:rsidRDefault="00D70BB8" w:rsidP="00C330C4">
            <w:pPr>
              <w:spacing w:line="252" w:lineRule="auto"/>
              <w:jc w:val="center"/>
              <w:rPr>
                <w:lang w:val="en-US" w:eastAsia="en-US"/>
              </w:rPr>
            </w:pPr>
            <w:r w:rsidRPr="007A4A1C">
              <w:rPr>
                <w:lang w:val="en-US" w:eastAsia="en-US"/>
              </w:rPr>
              <w:t>________________</w:t>
            </w:r>
          </w:p>
          <w:p w:rsidR="00D70BB8" w:rsidRPr="007A4A1C" w:rsidRDefault="00D70BB8" w:rsidP="00C330C4">
            <w:pPr>
              <w:spacing w:line="252" w:lineRule="auto"/>
              <w:jc w:val="center"/>
              <w:rPr>
                <w:lang w:val="en-US" w:eastAsia="en-US"/>
              </w:rPr>
            </w:pPr>
            <w:r w:rsidRPr="007A4A1C">
              <w:rPr>
                <w:lang w:val="en-US" w:eastAsia="en-US"/>
              </w:rPr>
              <w:t>(signature)</w:t>
            </w:r>
          </w:p>
        </w:tc>
        <w:tc>
          <w:tcPr>
            <w:tcW w:w="2273" w:type="dxa"/>
            <w:tcBorders>
              <w:top w:val="single" w:sz="4" w:space="0" w:color="auto"/>
              <w:left w:val="nil"/>
              <w:bottom w:val="nil"/>
              <w:right w:val="single" w:sz="4" w:space="0" w:color="auto"/>
            </w:tcBorders>
            <w:tcMar>
              <w:top w:w="0" w:type="dxa"/>
              <w:left w:w="28" w:type="dxa"/>
              <w:bottom w:w="0" w:type="dxa"/>
              <w:right w:w="28" w:type="dxa"/>
            </w:tcMar>
            <w:vAlign w:val="bottom"/>
          </w:tcPr>
          <w:p w:rsidR="00D70BB8" w:rsidRPr="008D7EDB" w:rsidRDefault="00D70BB8" w:rsidP="00C330C4">
            <w:pPr>
              <w:spacing w:line="252" w:lineRule="auto"/>
              <w:rPr>
                <w:lang w:val="en-US" w:eastAsia="en-US"/>
              </w:rPr>
            </w:pPr>
            <w:proofErr w:type="spellStart"/>
            <w:r w:rsidRPr="008D7EDB">
              <w:rPr>
                <w:lang w:val="en-US" w:eastAsia="en-US"/>
              </w:rPr>
              <w:t>Didenko</w:t>
            </w:r>
            <w:proofErr w:type="spellEnd"/>
            <w:r w:rsidRPr="008D7EDB">
              <w:rPr>
                <w:lang w:val="en-US" w:eastAsia="en-US"/>
              </w:rPr>
              <w:t xml:space="preserve"> </w:t>
            </w:r>
            <w:proofErr w:type="spellStart"/>
            <w:r w:rsidRPr="008D7EDB">
              <w:rPr>
                <w:lang w:val="en-US" w:eastAsia="en-US"/>
              </w:rPr>
              <w:t>Ye.Ye</w:t>
            </w:r>
            <w:proofErr w:type="spellEnd"/>
            <w:r w:rsidRPr="008D7EDB">
              <w:rPr>
                <w:lang w:val="en-US" w:eastAsia="en-US"/>
              </w:rPr>
              <w:t>.</w:t>
            </w:r>
          </w:p>
          <w:p w:rsidR="00D70BB8" w:rsidRDefault="00D70BB8" w:rsidP="00C330C4">
            <w:pPr>
              <w:spacing w:line="252" w:lineRule="auto"/>
              <w:rPr>
                <w:lang w:val="en-US" w:eastAsia="en-US"/>
              </w:rPr>
            </w:pPr>
          </w:p>
          <w:p w:rsidR="00D70BB8" w:rsidRDefault="00D70BB8" w:rsidP="00C330C4">
            <w:pPr>
              <w:spacing w:line="252" w:lineRule="auto"/>
              <w:rPr>
                <w:lang w:val="en-US" w:eastAsia="en-US"/>
              </w:rPr>
            </w:pPr>
          </w:p>
        </w:tc>
      </w:tr>
      <w:tr w:rsidR="00D70BB8" w:rsidTr="00C330C4">
        <w:trPr>
          <w:cantSplit/>
          <w:trHeight w:val="645"/>
        </w:trPr>
        <w:tc>
          <w:tcPr>
            <w:tcW w:w="524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D70BB8" w:rsidRPr="008D7EDB" w:rsidRDefault="00D70BB8" w:rsidP="00C330C4">
            <w:pPr>
              <w:spacing w:line="252" w:lineRule="auto"/>
              <w:rPr>
                <w:lang w:val="en-US" w:eastAsia="en-US"/>
              </w:rPr>
            </w:pPr>
            <w:r w:rsidRPr="008D7EDB">
              <w:rPr>
                <w:lang w:val="en-US" w:eastAsia="en-US"/>
              </w:rPr>
              <w:t xml:space="preserve">3.2 Date: </w:t>
            </w:r>
            <w:r w:rsidR="00C330C4">
              <w:rPr>
                <w:lang w:val="en-US" w:eastAsia="en-US"/>
              </w:rPr>
              <w:t>20</w:t>
            </w:r>
            <w:r w:rsidRPr="008D7EDB">
              <w:rPr>
                <w:lang w:val="en-US" w:eastAsia="en-US"/>
              </w:rPr>
              <w:t xml:space="preserve"> December</w:t>
            </w:r>
            <w:r w:rsidRPr="008D7EDB">
              <w:rPr>
                <w:bCs/>
                <w:lang w:val="en-US" w:eastAsia="en-US"/>
              </w:rPr>
              <w:t xml:space="preserve"> 2018</w:t>
            </w:r>
            <w:r w:rsidRPr="008D7EDB">
              <w:rPr>
                <w:b/>
                <w:bCs/>
                <w:lang w:val="en-US" w:eastAsia="en-US"/>
              </w:rPr>
              <w:t xml:space="preserve"> </w:t>
            </w:r>
            <w:r w:rsidRPr="008D7EDB">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D70BB8" w:rsidRDefault="00D70BB8" w:rsidP="00C330C4">
            <w:pPr>
              <w:spacing w:line="252" w:lineRule="auto"/>
              <w:jc w:val="center"/>
              <w:rPr>
                <w:lang w:val="en-US" w:eastAsia="en-US"/>
              </w:rPr>
            </w:pPr>
            <w:r w:rsidRPr="007A4A1C">
              <w:rPr>
                <w:lang w:val="en-US" w:eastAsia="en-US"/>
              </w:rPr>
              <w:t xml:space="preserve">seal </w:t>
            </w:r>
          </w:p>
        </w:tc>
        <w:tc>
          <w:tcPr>
            <w:tcW w:w="2273" w:type="dxa"/>
            <w:tcBorders>
              <w:top w:val="nil"/>
              <w:left w:val="nil"/>
              <w:bottom w:val="single" w:sz="4" w:space="0" w:color="auto"/>
              <w:right w:val="single" w:sz="4" w:space="0" w:color="auto"/>
            </w:tcBorders>
            <w:tcMar>
              <w:top w:w="0" w:type="dxa"/>
              <w:left w:w="28" w:type="dxa"/>
              <w:bottom w:w="0" w:type="dxa"/>
              <w:right w:w="28" w:type="dxa"/>
            </w:tcMar>
            <w:vAlign w:val="bottom"/>
          </w:tcPr>
          <w:p w:rsidR="00D70BB8" w:rsidRDefault="00D70BB8" w:rsidP="00C330C4">
            <w:pPr>
              <w:spacing w:line="252" w:lineRule="auto"/>
              <w:rPr>
                <w:lang w:val="en-US" w:eastAsia="en-US"/>
              </w:rPr>
            </w:pPr>
          </w:p>
        </w:tc>
      </w:tr>
    </w:tbl>
    <w:p w:rsidR="00D70BB8" w:rsidRDefault="00D70BB8" w:rsidP="00C330C4"/>
    <w:p w:rsidR="0059029B" w:rsidRDefault="0059029B" w:rsidP="00C330C4">
      <w:bookmarkStart w:id="0" w:name="_GoBack"/>
      <w:bookmarkEnd w:id="0"/>
    </w:p>
    <w:sectPr w:rsidR="0059029B" w:rsidSect="00C330C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15" w:rsidRDefault="002E2915" w:rsidP="00C330C4">
      <w:r>
        <w:separator/>
      </w:r>
    </w:p>
  </w:endnote>
  <w:endnote w:type="continuationSeparator" w:id="0">
    <w:p w:rsidR="002E2915" w:rsidRDefault="002E2915" w:rsidP="00C3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937925"/>
      <w:docPartObj>
        <w:docPartGallery w:val="Page Numbers (Bottom of Page)"/>
        <w:docPartUnique/>
      </w:docPartObj>
    </w:sdtPr>
    <w:sdtContent>
      <w:p w:rsidR="00C330C4" w:rsidRDefault="00C330C4">
        <w:pPr>
          <w:pStyle w:val="a9"/>
          <w:jc w:val="right"/>
        </w:pPr>
        <w:r>
          <w:fldChar w:fldCharType="begin"/>
        </w:r>
        <w:r>
          <w:instrText>PAGE   \* MERGEFORMAT</w:instrText>
        </w:r>
        <w:r>
          <w:fldChar w:fldCharType="separate"/>
        </w:r>
        <w:r>
          <w:rPr>
            <w:noProof/>
          </w:rPr>
          <w:t>4</w:t>
        </w:r>
        <w:r>
          <w:fldChar w:fldCharType="end"/>
        </w:r>
      </w:p>
    </w:sdtContent>
  </w:sdt>
  <w:p w:rsidR="00C330C4" w:rsidRDefault="00C330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15" w:rsidRDefault="002E2915" w:rsidP="00C330C4">
      <w:r>
        <w:separator/>
      </w:r>
    </w:p>
  </w:footnote>
  <w:footnote w:type="continuationSeparator" w:id="0">
    <w:p w:rsidR="002E2915" w:rsidRDefault="002E2915" w:rsidP="00C33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52"/>
    <w:rsid w:val="000A5A6F"/>
    <w:rsid w:val="00107C73"/>
    <w:rsid w:val="0013311E"/>
    <w:rsid w:val="0020532A"/>
    <w:rsid w:val="002B3C8C"/>
    <w:rsid w:val="002C4AEA"/>
    <w:rsid w:val="002E2915"/>
    <w:rsid w:val="0039053B"/>
    <w:rsid w:val="004D2155"/>
    <w:rsid w:val="004F7F52"/>
    <w:rsid w:val="0059029B"/>
    <w:rsid w:val="0062058F"/>
    <w:rsid w:val="006F0C79"/>
    <w:rsid w:val="00963154"/>
    <w:rsid w:val="00981F0D"/>
    <w:rsid w:val="00AE56C2"/>
    <w:rsid w:val="00B15807"/>
    <w:rsid w:val="00B912EE"/>
    <w:rsid w:val="00C330C4"/>
    <w:rsid w:val="00CD748B"/>
    <w:rsid w:val="00D5250D"/>
    <w:rsid w:val="00D70BB8"/>
    <w:rsid w:val="00D956FD"/>
    <w:rsid w:val="00E705A1"/>
    <w:rsid w:val="00E961CC"/>
    <w:rsid w:val="00EA6243"/>
    <w:rsid w:val="00F22A89"/>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B685"/>
  <w15:chartTrackingRefBased/>
  <w15:docId w15:val="{817E1032-18EC-4923-9A51-2C2B1F78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53B"/>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053B"/>
    <w:rPr>
      <w:color w:val="0563C1" w:themeColor="hyperlink"/>
      <w:u w:val="single"/>
    </w:rPr>
  </w:style>
  <w:style w:type="character" w:customStyle="1" w:styleId="a4">
    <w:name w:val="Без интервала Знак"/>
    <w:link w:val="a5"/>
    <w:uiPriority w:val="1"/>
    <w:locked/>
    <w:rsid w:val="0039053B"/>
  </w:style>
  <w:style w:type="paragraph" w:styleId="a5">
    <w:name w:val="No Spacing"/>
    <w:link w:val="a4"/>
    <w:uiPriority w:val="1"/>
    <w:qFormat/>
    <w:rsid w:val="0039053B"/>
    <w:pPr>
      <w:spacing w:after="0" w:line="240" w:lineRule="auto"/>
    </w:pPr>
  </w:style>
  <w:style w:type="paragraph" w:customStyle="1" w:styleId="Default">
    <w:name w:val="Default"/>
    <w:rsid w:val="0039053B"/>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3905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330C4"/>
    <w:pPr>
      <w:tabs>
        <w:tab w:val="center" w:pos="4677"/>
        <w:tab w:val="right" w:pos="9355"/>
      </w:tabs>
    </w:pPr>
  </w:style>
  <w:style w:type="character" w:customStyle="1" w:styleId="a8">
    <w:name w:val="Верхний колонтитул Знак"/>
    <w:basedOn w:val="a0"/>
    <w:link w:val="a7"/>
    <w:uiPriority w:val="99"/>
    <w:rsid w:val="00C330C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330C4"/>
    <w:pPr>
      <w:tabs>
        <w:tab w:val="center" w:pos="4677"/>
        <w:tab w:val="right" w:pos="9355"/>
      </w:tabs>
    </w:pPr>
  </w:style>
  <w:style w:type="character" w:customStyle="1" w:styleId="aa">
    <w:name w:val="Нижний колонтитул Знак"/>
    <w:basedOn w:val="a0"/>
    <w:link w:val="a9"/>
    <w:uiPriority w:val="99"/>
    <w:rsid w:val="00C330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Pages>
  <Words>1454</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22</cp:revision>
  <dcterms:created xsi:type="dcterms:W3CDTF">2018-11-06T18:14:00Z</dcterms:created>
  <dcterms:modified xsi:type="dcterms:W3CDTF">2018-12-20T15:33:00Z</dcterms:modified>
</cp:coreProperties>
</file>