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C2" w:rsidRPr="00FC11C6" w:rsidRDefault="003671C2" w:rsidP="003671C2">
      <w:pPr>
        <w:ind w:firstLine="540"/>
        <w:jc w:val="center"/>
        <w:outlineLvl w:val="2"/>
        <w:rPr>
          <w:b/>
          <w:lang w:val="en-US"/>
        </w:rPr>
      </w:pPr>
      <w:r w:rsidRPr="00FC11C6">
        <w:rPr>
          <w:b/>
          <w:lang w:val="en-US"/>
        </w:rPr>
        <w:t>Statement of material fact</w:t>
      </w:r>
    </w:p>
    <w:p w:rsidR="003671C2" w:rsidRPr="00FC11C6" w:rsidRDefault="003671C2" w:rsidP="003671C2">
      <w:pPr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 w:rsidRPr="00FC11C6">
        <w:rPr>
          <w:b/>
          <w:lang w:val="en-US"/>
        </w:rPr>
        <w:t xml:space="preserve">on disclosure </w:t>
      </w:r>
      <w:r w:rsidR="000D79D9">
        <w:rPr>
          <w:b/>
          <w:lang w:val="en-US"/>
        </w:rPr>
        <w:t xml:space="preserve">by the issuer </w:t>
      </w:r>
      <w:r w:rsidRPr="00FC11C6">
        <w:rPr>
          <w:b/>
          <w:lang w:val="en-US"/>
        </w:rPr>
        <w:t xml:space="preserve">of consolidated financial statements under International Financial Reporting Standards (IFRS), as well on auditor’s opinion on </w:t>
      </w:r>
      <w:r w:rsidR="000D79D9">
        <w:rPr>
          <w:b/>
          <w:lang w:val="en-US"/>
        </w:rPr>
        <w:t xml:space="preserve">these </w:t>
      </w:r>
      <w:r w:rsidR="00792FC3">
        <w:rPr>
          <w:b/>
          <w:lang w:val="en-US"/>
        </w:rPr>
        <w:t>statements</w:t>
      </w:r>
      <w:bookmarkStart w:id="0" w:name="_GoBack"/>
      <w:bookmarkEnd w:id="0"/>
      <w:r w:rsidR="000D79D9">
        <w:rPr>
          <w:b/>
          <w:lang w:val="en-US"/>
        </w:rPr>
        <w:t xml:space="preserve"> </w:t>
      </w:r>
      <w:r w:rsidRPr="00FC11C6">
        <w:rPr>
          <w:b/>
          <w:lang w:val="en-US"/>
        </w:rPr>
        <w:t>(disclosure of insider information)</w:t>
      </w: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4105"/>
        <w:gridCol w:w="5818"/>
      </w:tblGrid>
      <w:tr w:rsidR="003671C2" w:rsidRPr="00FC11C6" w:rsidTr="003671C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3671C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3671C2" w:rsidRPr="000D79D9" w:rsidTr="003671C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0D79D9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 xml:space="preserve">1.1. The Issuer’s full business name 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3671C2" w:rsidRPr="00FC11C6" w:rsidTr="003671C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1.2. The Issuer’s abbreviated business name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3671C2" w:rsidRPr="00FC11C6" w:rsidTr="003671C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1.3. The Issuer’s location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rPr>
                <w:lang w:val="en-US"/>
              </w:rPr>
            </w:pPr>
            <w:r w:rsidRPr="00FC11C6">
              <w:rPr>
                <w:lang w:val="en-US"/>
              </w:rPr>
              <w:t>Krasnodar, Russian Federation  350033</w:t>
            </w:r>
          </w:p>
        </w:tc>
      </w:tr>
      <w:tr w:rsidR="003671C2" w:rsidRPr="00FC11C6" w:rsidTr="003671C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1.4. The Issuer’s Principal State Registration Number (OGRN)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3671C2" w:rsidRPr="00FC11C6" w:rsidTr="003671C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1.5. The Issuer’s Taxpayer Identification Number (INN)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3671C2" w:rsidRPr="00FC11C6" w:rsidTr="003671C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1.6. The Issuer’s unique code assigned by the registration agency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FC11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671C2" w:rsidRPr="000D79D9" w:rsidTr="003671C2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1.7. Webpage used by the issuer for disclosure of information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3671C2" w:rsidRDefault="00792FC3" w:rsidP="009463DE">
            <w:pPr>
              <w:rPr>
                <w:color w:val="000000"/>
                <w:lang w:val="en-US"/>
              </w:rPr>
            </w:pPr>
            <w:hyperlink r:id="rId5" w:history="1">
              <w:r w:rsidR="003671C2" w:rsidRPr="003671C2">
                <w:rPr>
                  <w:rStyle w:val="a9"/>
                  <w:lang w:val="en-US"/>
                </w:rPr>
                <w:t>http://www.kubanenergo.ru</w:t>
              </w:r>
            </w:hyperlink>
          </w:p>
          <w:p w:rsidR="003671C2" w:rsidRPr="003671C2" w:rsidRDefault="00792FC3" w:rsidP="009463DE">
            <w:pPr>
              <w:rPr>
                <w:b/>
                <w:color w:val="000000"/>
                <w:lang w:val="en-US"/>
              </w:rPr>
            </w:pPr>
            <w:hyperlink r:id="rId6" w:history="1">
              <w:r w:rsidR="003671C2" w:rsidRPr="003671C2">
                <w:rPr>
                  <w:rStyle w:val="a9"/>
                  <w:lang w:val="en-US"/>
                </w:rPr>
                <w:t>http://www.e-disclosure.ru/portal/company.aspx?id=2827</w:t>
              </w:r>
            </w:hyperlink>
            <w:r w:rsidR="003671C2" w:rsidRPr="003671C2">
              <w:rPr>
                <w:lang w:val="en-US"/>
              </w:rPr>
              <w:t xml:space="preserve"> </w:t>
            </w:r>
          </w:p>
        </w:tc>
      </w:tr>
      <w:tr w:rsidR="003671C2" w:rsidRPr="00FC11C6" w:rsidTr="003671C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jc w:val="center"/>
              <w:rPr>
                <w:lang w:val="en-US"/>
              </w:rPr>
            </w:pPr>
            <w:r w:rsidRPr="00FC11C6">
              <w:rPr>
                <w:lang w:val="en-US"/>
              </w:rPr>
              <w:t>2. Statement content</w:t>
            </w:r>
          </w:p>
        </w:tc>
      </w:tr>
      <w:tr w:rsidR="003671C2" w:rsidRPr="006C31A9" w:rsidTr="003671C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2.1. </w:t>
            </w:r>
            <w:r w:rsidRPr="00FC11C6">
              <w:rPr>
                <w:bCs/>
                <w:iCs/>
                <w:lang w:val="en-US" w:eastAsia="en-US"/>
              </w:rPr>
              <w:t>Type of consolidated financial report of the issuer</w:t>
            </w:r>
            <w:r w:rsidRPr="00FC11C6">
              <w:rPr>
                <w:rFonts w:eastAsiaTheme="minorHAnsi"/>
                <w:lang w:val="en-US" w:eastAsia="en-US"/>
              </w:rPr>
              <w:t xml:space="preserve">: </w:t>
            </w:r>
            <w:r w:rsidRPr="00FC11C6">
              <w:rPr>
                <w:rFonts w:eastAsiaTheme="minorHAnsi"/>
                <w:b/>
                <w:lang w:val="en-US" w:eastAsia="en-US"/>
              </w:rPr>
              <w:t>consolidated interim condensed financial statements (unaudited)</w:t>
            </w:r>
            <w:r w:rsidRPr="00FC11C6">
              <w:rPr>
                <w:rFonts w:eastAsiaTheme="minorHAnsi"/>
                <w:lang w:val="en-US" w:eastAsia="en-US"/>
              </w:rPr>
              <w:t xml:space="preserve">. 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2.2. </w:t>
            </w:r>
            <w:r w:rsidR="000D79D9">
              <w:rPr>
                <w:rFonts w:eastAsiaTheme="minorHAnsi"/>
                <w:lang w:val="en-US" w:eastAsia="en-US"/>
              </w:rPr>
              <w:t>The r</w:t>
            </w:r>
            <w:r w:rsidRPr="00FC11C6">
              <w:rPr>
                <w:rFonts w:eastAsiaTheme="minorHAnsi"/>
                <w:lang w:val="en-US" w:eastAsia="en-US"/>
              </w:rPr>
              <w:t xml:space="preserve">eporting period for which </w:t>
            </w:r>
            <w:r w:rsidR="000D79D9">
              <w:rPr>
                <w:rFonts w:eastAsiaTheme="minorHAnsi"/>
                <w:lang w:val="en-US" w:eastAsia="en-US"/>
              </w:rPr>
              <w:t>the consolidated financial statements were compiled</w:t>
            </w:r>
            <w:r w:rsidRPr="00FC11C6">
              <w:rPr>
                <w:lang w:val="en-US" w:eastAsia="en-US"/>
              </w:rPr>
              <w:t xml:space="preserve">: </w:t>
            </w:r>
            <w:r w:rsidRPr="00FC11C6">
              <w:rPr>
                <w:b/>
                <w:lang w:val="en-US" w:eastAsia="en-US"/>
              </w:rPr>
              <w:t xml:space="preserve">for the three </w:t>
            </w:r>
            <w:r w:rsidR="000D79D9">
              <w:rPr>
                <w:b/>
                <w:lang w:val="en-US" w:eastAsia="en-US"/>
              </w:rPr>
              <w:t xml:space="preserve">and six </w:t>
            </w:r>
            <w:r w:rsidRPr="00FC11C6">
              <w:rPr>
                <w:b/>
                <w:lang w:val="en-US" w:eastAsia="en-US"/>
              </w:rPr>
              <w:t xml:space="preserve">months ended </w:t>
            </w:r>
            <w:r w:rsidR="000D79D9">
              <w:rPr>
                <w:b/>
                <w:lang w:val="en-US" w:eastAsia="en-US"/>
              </w:rPr>
              <w:t>30 June</w:t>
            </w:r>
            <w:r w:rsidRPr="00FC11C6">
              <w:rPr>
                <w:b/>
                <w:lang w:val="en-US" w:eastAsia="en-US"/>
              </w:rPr>
              <w:t xml:space="preserve"> 2018;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b/>
                <w:lang w:val="en-US" w:eastAsia="en-US"/>
              </w:rPr>
            </w:pPr>
            <w:r w:rsidRPr="00FC11C6">
              <w:rPr>
                <w:lang w:val="en-US" w:eastAsia="en-US"/>
              </w:rPr>
              <w:t xml:space="preserve">2.3. Standards of accounting (financial) statements, in accordance with </w:t>
            </w:r>
            <w:r w:rsidR="000D79D9">
              <w:rPr>
                <w:lang w:val="en-US" w:eastAsia="en-US"/>
              </w:rPr>
              <w:t>which</w:t>
            </w:r>
            <w:r w:rsidRPr="00FC11C6">
              <w:rPr>
                <w:lang w:val="en-US" w:eastAsia="en-US"/>
              </w:rPr>
              <w:t xml:space="preserve"> the </w:t>
            </w:r>
            <w:r w:rsidR="000D79D9">
              <w:rPr>
                <w:rFonts w:eastAsiaTheme="minorHAnsi"/>
                <w:lang w:val="en-US" w:eastAsia="en-US"/>
              </w:rPr>
              <w:t>consolidated financial statements</w:t>
            </w:r>
            <w:r w:rsidRPr="00FC11C6">
              <w:rPr>
                <w:lang w:val="en-US" w:eastAsia="en-US"/>
              </w:rPr>
              <w:t xml:space="preserve"> are prepared: </w:t>
            </w:r>
            <w:r w:rsidRPr="00FC11C6">
              <w:rPr>
                <w:rStyle w:val="apple-converted-space"/>
                <w:color w:val="000000"/>
                <w:lang w:val="en-US" w:eastAsia="en-US"/>
              </w:rPr>
              <w:t> </w:t>
            </w:r>
            <w:r w:rsidRPr="00FC11C6">
              <w:rPr>
                <w:b/>
                <w:lang w:val="en-US" w:eastAsia="en-US"/>
              </w:rPr>
              <w:t>IFRS</w:t>
            </w:r>
            <w:r w:rsidRPr="00FC11C6">
              <w:rPr>
                <w:b/>
                <w:color w:val="808080"/>
                <w:lang w:val="en-US" w:eastAsia="en-US"/>
              </w:rPr>
              <w:t xml:space="preserve"> </w:t>
            </w:r>
            <w:r w:rsidRPr="00FC11C6">
              <w:rPr>
                <w:b/>
                <w:lang w:val="en-US" w:eastAsia="en-US"/>
              </w:rPr>
              <w:t>(International Financial Reporting Standards)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2.4. </w:t>
            </w:r>
            <w:r w:rsidR="00792FC3" w:rsidRPr="00792FC3">
              <w:rPr>
                <w:rFonts w:eastAsiaTheme="minorHAnsi"/>
                <w:lang w:val="en-US" w:eastAsia="en-US"/>
              </w:rPr>
              <w:t xml:space="preserve">Information on the auditor that prepared the audit report on the consolidated financial statements of the issuer (full name of the auditor, location, </w:t>
            </w:r>
            <w:r w:rsidR="00792FC3" w:rsidRPr="00FC11C6">
              <w:rPr>
                <w:rFonts w:eastAsiaTheme="minorHAnsi"/>
                <w:lang w:val="en-US" w:eastAsia="en-US"/>
              </w:rPr>
              <w:t>TIN (if applicable)</w:t>
            </w:r>
            <w:r w:rsidR="00792FC3">
              <w:rPr>
                <w:rFonts w:eastAsiaTheme="minorHAnsi"/>
                <w:lang w:val="en-US" w:eastAsia="en-US"/>
              </w:rPr>
              <w:t xml:space="preserve"> and</w:t>
            </w:r>
            <w:r w:rsidR="00792FC3" w:rsidRPr="00FC11C6">
              <w:rPr>
                <w:rFonts w:eastAsiaTheme="minorHAnsi"/>
                <w:lang w:val="en-US" w:eastAsia="en-US"/>
              </w:rPr>
              <w:t xml:space="preserve"> PSRN (if applicable)</w:t>
            </w:r>
            <w:r w:rsidR="00792FC3">
              <w:rPr>
                <w:rFonts w:eastAsiaTheme="minorHAnsi"/>
                <w:lang w:val="en-US" w:eastAsia="en-US"/>
              </w:rPr>
              <w:t xml:space="preserve"> of auditing company):</w:t>
            </w:r>
            <w:r w:rsidRPr="00FC11C6">
              <w:rPr>
                <w:rFonts w:eastAsiaTheme="minorHAnsi"/>
                <w:lang w:val="en-US" w:eastAsia="en-US"/>
              </w:rPr>
              <w:t xml:space="preserve"> 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 w:rsidRPr="00FC11C6">
              <w:rPr>
                <w:rFonts w:eastAsiaTheme="minorHAnsi"/>
                <w:b/>
                <w:lang w:val="en-US" w:eastAsia="en-US"/>
              </w:rPr>
              <w:t>Auditor did not issue report on these statements</w:t>
            </w:r>
            <w:r w:rsidRPr="00FC11C6">
              <w:rPr>
                <w:rFonts w:eastAsiaTheme="minorHAnsi"/>
                <w:b/>
                <w:bCs/>
                <w:iCs/>
                <w:lang w:val="en-US" w:eastAsia="en-US"/>
              </w:rPr>
              <w:t>;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>2.5. Web-page for disclosure of consolidated accounting report:</w:t>
            </w:r>
          </w:p>
          <w:p w:rsidR="003671C2" w:rsidRPr="00FC11C6" w:rsidRDefault="003671C2" w:rsidP="006C31A9">
            <w:pPr>
              <w:adjustRightInd w:val="0"/>
              <w:jc w:val="both"/>
              <w:outlineLvl w:val="2"/>
              <w:rPr>
                <w:b/>
                <w:lang w:val="en-US"/>
              </w:rPr>
            </w:pPr>
            <w:r w:rsidRPr="00FC11C6">
              <w:rPr>
                <w:rFonts w:eastAsiaTheme="minorHAnsi"/>
                <w:b/>
                <w:lang w:val="en-US" w:eastAsia="en-US"/>
              </w:rPr>
              <w:t xml:space="preserve">http://kubanenergo.ru/aktsioneram-i-investoram/raskrytie-informatsii/finansovaya-informatsiya-i-otchetnost/; </w:t>
            </w:r>
            <w:r w:rsidRPr="00FC11C6">
              <w:rPr>
                <w:b/>
                <w:lang w:val="en-US"/>
              </w:rPr>
              <w:t>http://www.e-disclosure.ru/portal/company.aspx?id=2827</w:t>
            </w:r>
          </w:p>
          <w:p w:rsidR="006C31A9" w:rsidRDefault="003671C2" w:rsidP="006C31A9">
            <w:pPr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2.6. Date of publishing the text of consolidated accounting (financial) statements on the Internet: </w:t>
            </w:r>
          </w:p>
          <w:p w:rsidR="003671C2" w:rsidRPr="00FC11C6" w:rsidRDefault="00792FC3" w:rsidP="006C31A9">
            <w:pPr>
              <w:jc w:val="both"/>
              <w:outlineLvl w:val="2"/>
              <w:rPr>
                <w:b/>
                <w:lang w:val="en-US"/>
              </w:rPr>
            </w:pPr>
            <w:r>
              <w:rPr>
                <w:rFonts w:eastAsiaTheme="minorHAnsi"/>
                <w:b/>
                <w:lang w:val="en-US" w:eastAsia="en-US"/>
              </w:rPr>
              <w:t>23 August</w:t>
            </w:r>
            <w:r w:rsidR="003671C2" w:rsidRPr="00FC11C6">
              <w:rPr>
                <w:rFonts w:eastAsiaTheme="minorHAnsi"/>
                <w:b/>
                <w:lang w:val="en-US" w:eastAsia="en-US"/>
              </w:rPr>
              <w:t xml:space="preserve"> 2018</w:t>
            </w:r>
          </w:p>
        </w:tc>
      </w:tr>
    </w:tbl>
    <w:tbl>
      <w:tblPr>
        <w:tblW w:w="992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5"/>
        <w:gridCol w:w="2696"/>
        <w:gridCol w:w="2172"/>
      </w:tblGrid>
      <w:tr w:rsidR="003671C2" w:rsidRPr="00FC11C6" w:rsidTr="003671C2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71C2" w:rsidRPr="00FC11C6" w:rsidRDefault="003671C2" w:rsidP="009463DE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 xml:space="preserve">3. Signature </w:t>
            </w:r>
          </w:p>
        </w:tc>
      </w:tr>
      <w:tr w:rsidR="003671C2" w:rsidRPr="00FC11C6" w:rsidTr="003671C2">
        <w:trPr>
          <w:cantSplit/>
          <w:trHeight w:val="1187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671C2" w:rsidRPr="00FC11C6" w:rsidRDefault="003671C2" w:rsidP="009463DE">
            <w:pPr>
              <w:pStyle w:val="Default"/>
              <w:jc w:val="both"/>
              <w:rPr>
                <w:color w:val="auto"/>
                <w:lang w:val="en-US"/>
              </w:rPr>
            </w:pPr>
            <w:r w:rsidRPr="00FC11C6"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 w:rsidRPr="00FC11C6">
              <w:rPr>
                <w:lang w:val="en-US"/>
              </w:rPr>
              <w:t>dated 22.02.2018)</w:t>
            </w:r>
          </w:p>
          <w:p w:rsidR="003671C2" w:rsidRPr="00FC11C6" w:rsidRDefault="003671C2" w:rsidP="009463DE">
            <w:pPr>
              <w:ind w:left="57"/>
              <w:rPr>
                <w:lang w:val="en-US"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71C2" w:rsidRPr="00FC11C6" w:rsidRDefault="003671C2" w:rsidP="009463DE">
            <w:pPr>
              <w:jc w:val="center"/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>________________</w:t>
            </w:r>
          </w:p>
          <w:p w:rsidR="003671C2" w:rsidRPr="00FC11C6" w:rsidRDefault="003671C2" w:rsidP="009463DE">
            <w:pPr>
              <w:jc w:val="center"/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>(signature)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671C2" w:rsidRPr="00FC11C6" w:rsidRDefault="003671C2" w:rsidP="009463DE">
            <w:pPr>
              <w:rPr>
                <w:lang w:val="en-US" w:eastAsia="en-US"/>
              </w:rPr>
            </w:pPr>
            <w:proofErr w:type="spellStart"/>
            <w:r w:rsidRPr="00FC11C6">
              <w:rPr>
                <w:lang w:val="en-US" w:eastAsia="en-US"/>
              </w:rPr>
              <w:t>Didenko</w:t>
            </w:r>
            <w:proofErr w:type="spellEnd"/>
            <w:r w:rsidRPr="00FC11C6">
              <w:rPr>
                <w:lang w:val="en-US" w:eastAsia="en-US"/>
              </w:rPr>
              <w:t xml:space="preserve"> </w:t>
            </w:r>
            <w:proofErr w:type="spellStart"/>
            <w:r w:rsidRPr="00FC11C6">
              <w:rPr>
                <w:lang w:val="en-US" w:eastAsia="en-US"/>
              </w:rPr>
              <w:t>Ye.Ye</w:t>
            </w:r>
            <w:proofErr w:type="spellEnd"/>
            <w:r w:rsidRPr="00FC11C6">
              <w:rPr>
                <w:lang w:val="en-US" w:eastAsia="en-US"/>
              </w:rPr>
              <w:t>.</w:t>
            </w:r>
          </w:p>
          <w:p w:rsidR="003671C2" w:rsidRPr="00FC11C6" w:rsidRDefault="003671C2" w:rsidP="009463DE">
            <w:pPr>
              <w:rPr>
                <w:lang w:val="en-US" w:eastAsia="en-US"/>
              </w:rPr>
            </w:pPr>
          </w:p>
          <w:p w:rsidR="003671C2" w:rsidRPr="00FC11C6" w:rsidRDefault="003671C2" w:rsidP="009463DE">
            <w:pPr>
              <w:rPr>
                <w:lang w:val="en-US" w:eastAsia="en-US"/>
              </w:rPr>
            </w:pPr>
          </w:p>
        </w:tc>
      </w:tr>
      <w:tr w:rsidR="003671C2" w:rsidRPr="00FC11C6" w:rsidTr="003671C2">
        <w:trPr>
          <w:cantSplit/>
          <w:trHeight w:val="6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71C2" w:rsidRPr="00FC11C6" w:rsidRDefault="003671C2" w:rsidP="00792FC3">
            <w:pPr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 xml:space="preserve">3.2 Date: </w:t>
            </w:r>
            <w:r w:rsidR="00792FC3">
              <w:rPr>
                <w:lang w:val="en-US" w:eastAsia="en-US"/>
              </w:rPr>
              <w:t xml:space="preserve">23 August </w:t>
            </w:r>
            <w:r w:rsidRPr="00FC11C6">
              <w:rPr>
                <w:lang w:val="en-US" w:eastAsia="en-US"/>
              </w:rPr>
              <w:t>2018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71C2" w:rsidRPr="00FC11C6" w:rsidRDefault="003671C2" w:rsidP="009463DE">
            <w:pPr>
              <w:jc w:val="center"/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 xml:space="preserve">seal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671C2" w:rsidRPr="00FC11C6" w:rsidRDefault="003671C2" w:rsidP="009463DE">
            <w:pPr>
              <w:rPr>
                <w:lang w:val="en-US" w:eastAsia="en-US"/>
              </w:rPr>
            </w:pPr>
          </w:p>
        </w:tc>
      </w:tr>
    </w:tbl>
    <w:p w:rsidR="003671C2" w:rsidRPr="00FC11C6" w:rsidRDefault="003671C2" w:rsidP="003671C2">
      <w:pPr>
        <w:rPr>
          <w:lang w:val="en-US"/>
        </w:rPr>
      </w:pPr>
    </w:p>
    <w:p w:rsidR="003671C2" w:rsidRPr="00FC11C6" w:rsidRDefault="003671C2" w:rsidP="003671C2">
      <w:pPr>
        <w:jc w:val="center"/>
        <w:rPr>
          <w:lang w:val="en-US"/>
        </w:rPr>
      </w:pPr>
    </w:p>
    <w:p w:rsidR="003671C2" w:rsidRPr="00FC11C6" w:rsidRDefault="003671C2" w:rsidP="003671C2">
      <w:pPr>
        <w:jc w:val="center"/>
        <w:rPr>
          <w:lang w:val="en-US"/>
        </w:rPr>
      </w:pPr>
    </w:p>
    <w:p w:rsidR="003671C2" w:rsidRPr="00FC11C6" w:rsidRDefault="003671C2" w:rsidP="003671C2">
      <w:pPr>
        <w:jc w:val="center"/>
        <w:rPr>
          <w:lang w:val="en-US"/>
        </w:rPr>
      </w:pPr>
    </w:p>
    <w:p w:rsidR="003671C2" w:rsidRPr="00FC11C6" w:rsidRDefault="003671C2" w:rsidP="003671C2">
      <w:pPr>
        <w:rPr>
          <w:lang w:val="en-US"/>
        </w:rPr>
      </w:pPr>
    </w:p>
    <w:p w:rsidR="003671C2" w:rsidRPr="00FC11C6" w:rsidRDefault="003671C2" w:rsidP="003671C2">
      <w:pPr>
        <w:rPr>
          <w:lang w:val="en-US"/>
        </w:rPr>
      </w:pPr>
    </w:p>
    <w:p w:rsidR="003671C2" w:rsidRPr="00FC11C6" w:rsidRDefault="003671C2" w:rsidP="003671C2"/>
    <w:p w:rsidR="0054654A" w:rsidRPr="003671C2" w:rsidRDefault="0054654A" w:rsidP="003671C2"/>
    <w:sectPr w:rsidR="0054654A" w:rsidRPr="0036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6D"/>
    <w:rsid w:val="00062DC4"/>
    <w:rsid w:val="000735C7"/>
    <w:rsid w:val="000D79D9"/>
    <w:rsid w:val="001148E0"/>
    <w:rsid w:val="00193362"/>
    <w:rsid w:val="0020349D"/>
    <w:rsid w:val="00271F6A"/>
    <w:rsid w:val="002857E4"/>
    <w:rsid w:val="002A45DD"/>
    <w:rsid w:val="002B0451"/>
    <w:rsid w:val="003671C2"/>
    <w:rsid w:val="00371BC8"/>
    <w:rsid w:val="00393C50"/>
    <w:rsid w:val="003A1988"/>
    <w:rsid w:val="003B1C79"/>
    <w:rsid w:val="003F332B"/>
    <w:rsid w:val="00402154"/>
    <w:rsid w:val="0045226D"/>
    <w:rsid w:val="004C0FB3"/>
    <w:rsid w:val="004F1584"/>
    <w:rsid w:val="00511847"/>
    <w:rsid w:val="0054654A"/>
    <w:rsid w:val="00560A36"/>
    <w:rsid w:val="005C38EE"/>
    <w:rsid w:val="005D2F8C"/>
    <w:rsid w:val="005D36EB"/>
    <w:rsid w:val="005F04D2"/>
    <w:rsid w:val="005F1291"/>
    <w:rsid w:val="00601872"/>
    <w:rsid w:val="00603716"/>
    <w:rsid w:val="006804F6"/>
    <w:rsid w:val="0068193A"/>
    <w:rsid w:val="006C31A9"/>
    <w:rsid w:val="006C386B"/>
    <w:rsid w:val="00701B22"/>
    <w:rsid w:val="00755A8C"/>
    <w:rsid w:val="00785493"/>
    <w:rsid w:val="00792FC3"/>
    <w:rsid w:val="0079410B"/>
    <w:rsid w:val="00905E44"/>
    <w:rsid w:val="00906DBD"/>
    <w:rsid w:val="00912C2F"/>
    <w:rsid w:val="00951436"/>
    <w:rsid w:val="0096350D"/>
    <w:rsid w:val="009D54F0"/>
    <w:rsid w:val="009E1CE9"/>
    <w:rsid w:val="009E711C"/>
    <w:rsid w:val="00A00402"/>
    <w:rsid w:val="00A32CCA"/>
    <w:rsid w:val="00A37B7C"/>
    <w:rsid w:val="00A83CCA"/>
    <w:rsid w:val="00A929D0"/>
    <w:rsid w:val="00AC5336"/>
    <w:rsid w:val="00B62FEC"/>
    <w:rsid w:val="00B96624"/>
    <w:rsid w:val="00BE4CFE"/>
    <w:rsid w:val="00C16D1F"/>
    <w:rsid w:val="00C35803"/>
    <w:rsid w:val="00C433CB"/>
    <w:rsid w:val="00C44473"/>
    <w:rsid w:val="00C51546"/>
    <w:rsid w:val="00C76CE5"/>
    <w:rsid w:val="00C90002"/>
    <w:rsid w:val="00CA0D9D"/>
    <w:rsid w:val="00CA6F29"/>
    <w:rsid w:val="00D645BC"/>
    <w:rsid w:val="00D92460"/>
    <w:rsid w:val="00DE30FD"/>
    <w:rsid w:val="00E06B1F"/>
    <w:rsid w:val="00E1266D"/>
    <w:rsid w:val="00E13BC3"/>
    <w:rsid w:val="00E14EDF"/>
    <w:rsid w:val="00E340D6"/>
    <w:rsid w:val="00E84FA4"/>
    <w:rsid w:val="00EA1394"/>
    <w:rsid w:val="00EC1284"/>
    <w:rsid w:val="00EF0A1F"/>
    <w:rsid w:val="00EF39C2"/>
    <w:rsid w:val="00E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96EC"/>
  <w15:docId w15:val="{0926C90B-8D31-468A-A785-131E49FF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customStyle="1" w:styleId="Default">
    <w:name w:val="Default"/>
    <w:rsid w:val="00367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6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2</cp:revision>
  <cp:lastPrinted>2016-08-26T08:37:00Z</cp:lastPrinted>
  <dcterms:created xsi:type="dcterms:W3CDTF">2018-08-24T12:58:00Z</dcterms:created>
  <dcterms:modified xsi:type="dcterms:W3CDTF">2018-08-24T12:58:00Z</dcterms:modified>
</cp:coreProperties>
</file>