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CDE" w:rsidRDefault="00207CDE" w:rsidP="00207CDE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207CDE" w:rsidRDefault="00207CDE" w:rsidP="00207CD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207CDE" w:rsidRDefault="00207CDE" w:rsidP="00207CD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p w:rsidR="00727480" w:rsidRDefault="00727480" w:rsidP="00207CDE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421"/>
        <w:gridCol w:w="1976"/>
        <w:gridCol w:w="2415"/>
      </w:tblGrid>
      <w:tr w:rsidR="00207CDE" w:rsidTr="00727480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207CDE" w:rsidRPr="00207CDE" w:rsidTr="00727480">
        <w:trPr>
          <w:trHeight w:val="59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207CDE" w:rsidTr="0072748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207CDE" w:rsidTr="0072748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207CDE" w:rsidTr="0072748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207CDE" w:rsidTr="0072748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207CDE" w:rsidTr="0072748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207CDE" w:rsidRPr="00207CDE" w:rsidTr="0072748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Pr="007549BD" w:rsidRDefault="00207CDE" w:rsidP="007D0F59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207CDE" w:rsidRPr="007549BD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07CDE" w:rsidTr="00727480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7CDE" w:rsidRDefault="00207CDE" w:rsidP="007D0F59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207CDE" w:rsidRPr="00207CDE" w:rsidTr="00727480">
        <w:trPr>
          <w:trHeight w:val="69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7CDE" w:rsidRDefault="00207CDE" w:rsidP="00207CDE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B66554">
              <w:rPr>
                <w:b/>
                <w:sz w:val="24"/>
                <w:szCs w:val="24"/>
                <w:lang w:val="en-US" w:eastAsia="en-US"/>
              </w:rPr>
              <w:t>1</w:t>
            </w:r>
            <w:r w:rsidRPr="00207CDE">
              <w:rPr>
                <w:b/>
                <w:sz w:val="24"/>
                <w:szCs w:val="24"/>
                <w:lang w:val="en-US" w:eastAsia="en-US"/>
              </w:rPr>
              <w:t>5</w:t>
            </w:r>
            <w:r w:rsidRPr="00B66554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May 2018</w:t>
            </w:r>
          </w:p>
        </w:tc>
      </w:tr>
      <w:tr w:rsidR="00207CDE" w:rsidRPr="00207CDE" w:rsidTr="00727480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7CDE" w:rsidRDefault="00207CDE" w:rsidP="00207CD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207CDE">
              <w:rPr>
                <w:b/>
                <w:sz w:val="24"/>
                <w:szCs w:val="24"/>
                <w:lang w:val="en-US" w:eastAsia="en-US"/>
              </w:rPr>
              <w:t>18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May 2018</w:t>
            </w:r>
          </w:p>
        </w:tc>
      </w:tr>
      <w:tr w:rsidR="00207CDE" w:rsidRPr="00207CDE" w:rsidTr="00727480">
        <w:trPr>
          <w:trHeight w:val="661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7CDE" w:rsidRDefault="00207CDE" w:rsidP="007D0F5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E34AE0" w:rsidRDefault="00E34AE0" w:rsidP="00E34AE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E34AE0"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Approval of the Plan of rebuilding facilities of Kubanenergo PJSC by the third parties.</w:t>
            </w:r>
          </w:p>
          <w:p w:rsidR="00207CDE" w:rsidRDefault="00E34AE0" w:rsidP="00C83497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</w:t>
            </w:r>
            <w:r w:rsidR="00C83497">
              <w:rPr>
                <w:sz w:val="24"/>
                <w:szCs w:val="24"/>
                <w:lang w:val="en-US" w:eastAsia="en-US"/>
              </w:rPr>
              <w:t>Defining the cases (amounts) of transactions with property that require preliminary approval of the Company’s BoD.</w:t>
            </w:r>
          </w:p>
          <w:p w:rsidR="00C83497" w:rsidRDefault="00C83497" w:rsidP="00C83497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Approval of the target model of system of emergency and process control in distribution power grid.</w:t>
            </w:r>
          </w:p>
          <w:p w:rsidR="00C83497" w:rsidRDefault="00C83497" w:rsidP="000500B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Consideration of </w:t>
            </w:r>
            <w:r w:rsidR="005A394C">
              <w:rPr>
                <w:sz w:val="24"/>
                <w:szCs w:val="24"/>
                <w:lang w:val="en-US" w:eastAsia="en-US"/>
              </w:rPr>
              <w:t>the report of the Director General</w:t>
            </w:r>
            <w:r w:rsidR="000500B5">
              <w:rPr>
                <w:sz w:val="24"/>
                <w:szCs w:val="24"/>
                <w:lang w:val="en-US" w:eastAsia="en-US"/>
              </w:rPr>
              <w:t xml:space="preserve"> on the process of implementation of the registry of non-core assets in the 1</w:t>
            </w:r>
            <w:r w:rsidR="000500B5" w:rsidRPr="000500B5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0500B5">
              <w:rPr>
                <w:sz w:val="24"/>
                <w:szCs w:val="24"/>
                <w:lang w:val="en-US" w:eastAsia="en-US"/>
              </w:rPr>
              <w:t xml:space="preserve"> quarter of 2018 and update of the registry of non-core assets of Kubanenergo PJSC.</w:t>
            </w:r>
          </w:p>
          <w:p w:rsidR="000500B5" w:rsidRDefault="000500B5" w:rsidP="000500B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5. Discussion of the results of the anti-corruption monitoring in 2017.</w:t>
            </w:r>
          </w:p>
          <w:p w:rsidR="000500B5" w:rsidRDefault="000500B5" w:rsidP="000500B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6. Approval of budgets for the Committees under the BoD of Kubanenergo PJSC.</w:t>
            </w:r>
          </w:p>
          <w:p w:rsidR="000500B5" w:rsidRDefault="000500B5" w:rsidP="0072748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7. Consideration of information provided by the </w:t>
            </w:r>
            <w:r>
              <w:rPr>
                <w:sz w:val="24"/>
                <w:szCs w:val="24"/>
                <w:lang w:val="en-US" w:eastAsia="en-US"/>
              </w:rPr>
              <w:t>Director General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of Kubanenergo PJSC</w:t>
            </w:r>
            <w:r>
              <w:rPr>
                <w:sz w:val="24"/>
                <w:szCs w:val="24"/>
                <w:lang w:val="en-US" w:eastAsia="en-US"/>
              </w:rPr>
              <w:t xml:space="preserve"> on indicators of the level of reliability and quality of services</w:t>
            </w:r>
            <w:r w:rsidR="00727480">
              <w:rPr>
                <w:sz w:val="24"/>
                <w:szCs w:val="24"/>
                <w:lang w:val="en-US" w:eastAsia="en-US"/>
              </w:rPr>
              <w:t xml:space="preserve"> rendered in 2017</w:t>
            </w:r>
            <w:r>
              <w:rPr>
                <w:sz w:val="24"/>
                <w:szCs w:val="24"/>
                <w:lang w:val="en-US" w:eastAsia="en-US"/>
              </w:rPr>
              <w:t xml:space="preserve"> that are subject to tariff regulations on the basis of long-term </w:t>
            </w:r>
            <w:r w:rsidR="00727480">
              <w:rPr>
                <w:sz w:val="24"/>
                <w:szCs w:val="24"/>
                <w:lang w:val="en-US" w:eastAsia="en-US"/>
              </w:rPr>
              <w:t>parameters of activity regulation.</w:t>
            </w:r>
          </w:p>
          <w:p w:rsidR="00727480" w:rsidRDefault="00727480" w:rsidP="0072748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8. </w:t>
            </w:r>
            <w:r>
              <w:rPr>
                <w:sz w:val="24"/>
                <w:szCs w:val="24"/>
                <w:lang w:val="en-US" w:eastAsia="en-US"/>
              </w:rPr>
              <w:t>Consideration of information provided by the</w:t>
            </w:r>
            <w:r>
              <w:rPr>
                <w:sz w:val="24"/>
                <w:szCs w:val="24"/>
                <w:lang w:val="en-US" w:eastAsia="en-US"/>
              </w:rPr>
              <w:t xml:space="preserve"> internal audit unit on the results of evaluation of the results of the programme of alienation of non-core assets and the plan of selling non-core assets of Kubanenergo PJSC in 2017.</w:t>
            </w:r>
          </w:p>
          <w:p w:rsidR="00727480" w:rsidRDefault="00727480" w:rsidP="0072748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9. </w:t>
            </w:r>
            <w:r>
              <w:rPr>
                <w:sz w:val="24"/>
                <w:szCs w:val="24"/>
                <w:lang w:val="en-US" w:eastAsia="en-US"/>
              </w:rPr>
              <w:t xml:space="preserve">Consideration of </w:t>
            </w:r>
            <w:r>
              <w:rPr>
                <w:sz w:val="24"/>
                <w:szCs w:val="24"/>
                <w:lang w:val="en-US" w:eastAsia="en-US"/>
              </w:rPr>
              <w:t>a report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submitted</w:t>
            </w:r>
            <w:r>
              <w:rPr>
                <w:sz w:val="24"/>
                <w:szCs w:val="24"/>
                <w:lang w:val="en-US" w:eastAsia="en-US"/>
              </w:rPr>
              <w:t xml:space="preserve"> by the internal audit</w:t>
            </w:r>
            <w:r>
              <w:rPr>
                <w:sz w:val="24"/>
                <w:szCs w:val="24"/>
                <w:lang w:val="en-US" w:eastAsia="en-US"/>
              </w:rPr>
              <w:t xml:space="preserve"> on implementation of their schedule of work and the results of activity of internal audit unit, including the results of self-evaluation of quality of internal audit by the results of 2017, as well as implementation of the plan for development and improvement of the internal audit system in Kubanenergo PJSC 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>over the period of 2017-2019.</w:t>
            </w:r>
          </w:p>
          <w:p w:rsidR="00727480" w:rsidRDefault="00727480" w:rsidP="0072748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10. Approval of RAS and IFRS based business plan of Kubanenergo Group for 2018 and estimates for 2019-2022.</w:t>
            </w:r>
          </w:p>
          <w:p w:rsidR="00727480" w:rsidRPr="00E34AE0" w:rsidRDefault="00727480" w:rsidP="0072748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11. Expressing the Company’s opinion on the agenda of the meetings of its affiliated and dependent companies – Recreation Centre “Energetik” JSC and “Energoservis Kuban” JSC: “Approval of the company’s business plan for 2018 and estimates for 209-2022.”</w:t>
            </w:r>
          </w:p>
        </w:tc>
      </w:tr>
      <w:tr w:rsidR="00207CDE" w:rsidRPr="00753311" w:rsidTr="00727480">
        <w:trPr>
          <w:cantSplit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7CDE" w:rsidRDefault="00207CDE" w:rsidP="007D0F59">
            <w:pPr>
              <w:tabs>
                <w:tab w:val="left" w:pos="142"/>
                <w:tab w:val="left" w:pos="9465"/>
              </w:tabs>
              <w:spacing w:line="254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207CDE" w:rsidTr="00727480">
        <w:trPr>
          <w:cantSplit/>
          <w:trHeight w:val="1187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7CDE" w:rsidRDefault="00207CDE" w:rsidP="007D0F59">
            <w:pPr>
              <w:pStyle w:val="Default"/>
              <w:spacing w:line="254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lastRenderedPageBreak/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dated 22.02.2018)</w:t>
            </w:r>
          </w:p>
          <w:p w:rsidR="00207CDE" w:rsidRDefault="00207CDE" w:rsidP="007D0F59">
            <w:pPr>
              <w:spacing w:line="254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7CDE" w:rsidRDefault="00207CDE" w:rsidP="007D0F59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207CDE" w:rsidRDefault="00207CDE" w:rsidP="007D0F59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7CDE" w:rsidRDefault="00207CDE" w:rsidP="007D0F59">
            <w:pPr>
              <w:spacing w:line="254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207CDE" w:rsidRDefault="00207CDE" w:rsidP="007D0F59">
            <w:pPr>
              <w:spacing w:line="254" w:lineRule="auto"/>
              <w:rPr>
                <w:sz w:val="24"/>
                <w:lang w:val="en-US" w:eastAsia="en-US"/>
              </w:rPr>
            </w:pPr>
          </w:p>
          <w:p w:rsidR="00207CDE" w:rsidRDefault="00207CDE" w:rsidP="007D0F59">
            <w:pPr>
              <w:spacing w:line="254" w:lineRule="auto"/>
              <w:rPr>
                <w:sz w:val="24"/>
                <w:lang w:val="en-US" w:eastAsia="en-US"/>
              </w:rPr>
            </w:pPr>
          </w:p>
        </w:tc>
      </w:tr>
      <w:tr w:rsidR="00207CDE" w:rsidTr="00727480">
        <w:trPr>
          <w:cantSplit/>
          <w:trHeight w:val="645"/>
        </w:trPr>
        <w:tc>
          <w:tcPr>
            <w:tcW w:w="53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7CDE" w:rsidRDefault="00207CDE" w:rsidP="00207CDE">
            <w:pPr>
              <w:spacing w:line="254" w:lineRule="auto"/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3.2 Date: 1</w:t>
            </w:r>
            <w:r>
              <w:rPr>
                <w:sz w:val="24"/>
                <w:lang w:eastAsia="en-US"/>
              </w:rPr>
              <w:t>6</w:t>
            </w:r>
            <w:r>
              <w:rPr>
                <w:sz w:val="24"/>
                <w:lang w:val="en-US" w:eastAsia="en-US"/>
              </w:rPr>
              <w:t xml:space="preserve"> May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7CDE" w:rsidRDefault="00207CDE" w:rsidP="007D0F59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7CDE" w:rsidRDefault="00207CDE" w:rsidP="007D0F59">
            <w:pPr>
              <w:spacing w:line="254" w:lineRule="auto"/>
              <w:rPr>
                <w:lang w:val="en-US" w:eastAsia="en-US"/>
              </w:rPr>
            </w:pPr>
          </w:p>
        </w:tc>
      </w:tr>
    </w:tbl>
    <w:p w:rsidR="00207CDE" w:rsidRDefault="00207CDE" w:rsidP="00207CDE">
      <w:pPr>
        <w:rPr>
          <w:lang w:val="en-US"/>
        </w:rPr>
      </w:pPr>
    </w:p>
    <w:p w:rsidR="00207CDE" w:rsidRDefault="00207CDE" w:rsidP="00207CDE"/>
    <w:p w:rsidR="00207CDE" w:rsidRDefault="00207CDE" w:rsidP="00207CDE"/>
    <w:p w:rsidR="00207CDE" w:rsidRDefault="00207CDE" w:rsidP="00207CDE"/>
    <w:p w:rsidR="00207CDE" w:rsidRDefault="00207CDE" w:rsidP="00207CDE"/>
    <w:p w:rsidR="00207CDE" w:rsidRDefault="00207CDE" w:rsidP="00207CDE"/>
    <w:p w:rsidR="00207CDE" w:rsidRDefault="00207CDE" w:rsidP="00207CDE"/>
    <w:p w:rsidR="00207CDE" w:rsidRDefault="00207CDE" w:rsidP="00207CDE"/>
    <w:p w:rsidR="00207CDE" w:rsidRDefault="00207CDE" w:rsidP="00207CDE"/>
    <w:p w:rsidR="00207CDE" w:rsidRDefault="00207CDE" w:rsidP="00207CDE"/>
    <w:p w:rsidR="00207CDE" w:rsidRDefault="00207CDE" w:rsidP="00207CDE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9B"/>
    <w:rsid w:val="000500B5"/>
    <w:rsid w:val="00207CDE"/>
    <w:rsid w:val="0059029B"/>
    <w:rsid w:val="005A394C"/>
    <w:rsid w:val="0062058F"/>
    <w:rsid w:val="00727480"/>
    <w:rsid w:val="00B9329B"/>
    <w:rsid w:val="00C83497"/>
    <w:rsid w:val="00D956FD"/>
    <w:rsid w:val="00E34AE0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7C5"/>
  <w15:chartTrackingRefBased/>
  <w15:docId w15:val="{B1CD6455-BC7E-49C9-AFAE-7D2D1D32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C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CDE"/>
    <w:rPr>
      <w:color w:val="0000FF"/>
      <w:u w:val="single"/>
    </w:rPr>
  </w:style>
  <w:style w:type="paragraph" w:styleId="a4">
    <w:name w:val="No Spacing"/>
    <w:uiPriority w:val="1"/>
    <w:qFormat/>
    <w:rsid w:val="00207C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207C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07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2018-05-17T13:02:00Z</dcterms:created>
  <dcterms:modified xsi:type="dcterms:W3CDTF">2018-05-17T15:10:00Z</dcterms:modified>
</cp:coreProperties>
</file>