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A8" w:rsidRDefault="008A4AA8" w:rsidP="008A4AA8">
      <w:pPr>
        <w:jc w:val="both"/>
        <w:rPr>
          <w:sz w:val="24"/>
          <w:szCs w:val="24"/>
          <w:lang w:val="en-US"/>
        </w:rPr>
      </w:pPr>
      <w:r>
        <w:rPr>
          <w:sz w:val="24"/>
          <w:szCs w:val="24"/>
          <w:lang w:val="en-US"/>
        </w:rPr>
        <w:t>This statement is a correction (amendment) to information contained in previously published statement.</w:t>
      </w:r>
    </w:p>
    <w:p w:rsidR="008A4AA8" w:rsidRDefault="008A4AA8" w:rsidP="008A4AA8">
      <w:pPr>
        <w:jc w:val="both"/>
        <w:rPr>
          <w:sz w:val="24"/>
          <w:szCs w:val="24"/>
          <w:lang w:val="en-US"/>
        </w:rPr>
      </w:pPr>
      <w:r>
        <w:rPr>
          <w:sz w:val="24"/>
          <w:szCs w:val="24"/>
          <w:lang w:val="en-US"/>
        </w:rPr>
        <w:t xml:space="preserve">The link to the statement that required correction (amendment): </w:t>
      </w:r>
    </w:p>
    <w:p w:rsidR="005B767F" w:rsidRDefault="005B767F" w:rsidP="008A4AA8">
      <w:pPr>
        <w:jc w:val="both"/>
        <w:rPr>
          <w:sz w:val="24"/>
          <w:szCs w:val="24"/>
          <w:lang w:val="en-US"/>
        </w:rPr>
      </w:pPr>
      <w:r w:rsidRPr="005B767F">
        <w:rPr>
          <w:sz w:val="24"/>
          <w:szCs w:val="24"/>
          <w:lang w:val="en-US"/>
        </w:rPr>
        <w:t>“</w:t>
      </w:r>
      <w:r w:rsidRPr="005B767F">
        <w:rPr>
          <w:sz w:val="24"/>
          <w:szCs w:val="24"/>
          <w:lang w:val="en-US"/>
        </w:rPr>
        <w:t>Submission to the registering body a notification on the results of additional issue of securities</w:t>
      </w:r>
      <w:r w:rsidRPr="005B767F">
        <w:rPr>
          <w:sz w:val="24"/>
          <w:szCs w:val="24"/>
          <w:lang w:val="en-US"/>
        </w:rPr>
        <w:t>” was</w:t>
      </w:r>
      <w:r w:rsidR="008A4AA8">
        <w:rPr>
          <w:sz w:val="24"/>
          <w:szCs w:val="24"/>
          <w:lang w:val="en-US"/>
        </w:rPr>
        <w:t xml:space="preserve"> published on </w:t>
      </w:r>
      <w:r>
        <w:rPr>
          <w:sz w:val="24"/>
          <w:szCs w:val="24"/>
          <w:lang w:val="en-US"/>
        </w:rPr>
        <w:t>25.04.</w:t>
      </w:r>
      <w:r w:rsidR="008A4AA8">
        <w:rPr>
          <w:sz w:val="24"/>
          <w:szCs w:val="24"/>
          <w:lang w:val="en-US"/>
        </w:rPr>
        <w:t xml:space="preserve">2018 at </w:t>
      </w:r>
      <w:r>
        <w:rPr>
          <w:sz w:val="24"/>
          <w:szCs w:val="24"/>
          <w:lang w:val="en-US"/>
        </w:rPr>
        <w:t>10</w:t>
      </w:r>
      <w:r w:rsidR="008A4AA8">
        <w:rPr>
          <w:sz w:val="24"/>
          <w:szCs w:val="24"/>
          <w:lang w:val="en-US"/>
        </w:rPr>
        <w:t>:</w:t>
      </w:r>
      <w:r>
        <w:rPr>
          <w:sz w:val="24"/>
          <w:szCs w:val="24"/>
          <w:lang w:val="en-US"/>
        </w:rPr>
        <w:t>22</w:t>
      </w:r>
      <w:r w:rsidR="008A4AA8">
        <w:rPr>
          <w:sz w:val="24"/>
          <w:szCs w:val="24"/>
          <w:lang w:val="en-US"/>
        </w:rPr>
        <w:t xml:space="preserve"> a.m. on </w:t>
      </w:r>
    </w:p>
    <w:p w:rsidR="008A4AA8" w:rsidRDefault="005B767F" w:rsidP="008A4AA8">
      <w:pPr>
        <w:jc w:val="both"/>
        <w:rPr>
          <w:bCs/>
          <w:sz w:val="22"/>
          <w:szCs w:val="22"/>
          <w:lang w:val="en-US" w:eastAsia="ar-SA"/>
        </w:rPr>
      </w:pPr>
      <w:hyperlink r:id="rId5" w:history="1">
        <w:r w:rsidRPr="00D33A09">
          <w:rPr>
            <w:rStyle w:val="a3"/>
            <w:bCs/>
            <w:sz w:val="22"/>
            <w:szCs w:val="22"/>
            <w:lang w:val="en-US" w:eastAsia="ar-SA"/>
          </w:rPr>
          <w:t>http://www.e-disclosure.ru/portal/event.aspx?EventId=AoYCNfIrdU-CnSmqu-AEbuxw-B-B</w:t>
        </w:r>
      </w:hyperlink>
    </w:p>
    <w:p w:rsidR="008A4AA8" w:rsidRDefault="008A4AA8" w:rsidP="008A4AA8">
      <w:pPr>
        <w:jc w:val="both"/>
        <w:rPr>
          <w:sz w:val="24"/>
          <w:szCs w:val="24"/>
          <w:lang w:val="en-US"/>
        </w:rPr>
      </w:pPr>
      <w:r>
        <w:rPr>
          <w:sz w:val="22"/>
          <w:szCs w:val="22"/>
          <w:lang w:val="en-US" w:eastAsia="ar-SA"/>
        </w:rPr>
        <w:t xml:space="preserve">Brief description of </w:t>
      </w:r>
      <w:r>
        <w:rPr>
          <w:sz w:val="24"/>
          <w:szCs w:val="24"/>
          <w:lang w:val="en-US"/>
        </w:rPr>
        <w:t>amendments</w:t>
      </w:r>
      <w:r>
        <w:rPr>
          <w:sz w:val="22"/>
          <w:szCs w:val="22"/>
          <w:lang w:val="en-US" w:eastAsia="ar-SA"/>
        </w:rPr>
        <w:t xml:space="preserve">: </w:t>
      </w:r>
      <w:r>
        <w:rPr>
          <w:sz w:val="24"/>
          <w:szCs w:val="24"/>
          <w:lang w:val="en-US"/>
        </w:rPr>
        <w:t>The date of the actual end of securities placement was changed.</w:t>
      </w:r>
    </w:p>
    <w:p w:rsidR="008A4AA8" w:rsidRDefault="008A4AA8" w:rsidP="008A4AA8">
      <w:pPr>
        <w:jc w:val="both"/>
        <w:rPr>
          <w:sz w:val="24"/>
          <w:szCs w:val="24"/>
          <w:lang w:val="en-US"/>
        </w:rPr>
      </w:pPr>
      <w:r>
        <w:rPr>
          <w:sz w:val="24"/>
          <w:szCs w:val="24"/>
          <w:lang w:val="en-US"/>
        </w:rPr>
        <w:t>Below is the full text of statements with the introduced changes:</w:t>
      </w:r>
    </w:p>
    <w:p w:rsidR="008A4AA8" w:rsidRDefault="008A4AA8" w:rsidP="008A4AA8">
      <w:pPr>
        <w:jc w:val="center"/>
        <w:rPr>
          <w:b/>
          <w:sz w:val="24"/>
          <w:szCs w:val="24"/>
          <w:lang w:val="en-US"/>
        </w:rPr>
      </w:pPr>
    </w:p>
    <w:p w:rsidR="008A4AA8" w:rsidRPr="00DC3A58" w:rsidRDefault="008A4AA8" w:rsidP="008A4AA8">
      <w:pPr>
        <w:jc w:val="center"/>
        <w:rPr>
          <w:b/>
          <w:sz w:val="24"/>
          <w:szCs w:val="24"/>
          <w:lang w:val="en-US"/>
        </w:rPr>
      </w:pPr>
      <w:r w:rsidRPr="00DC3A58">
        <w:rPr>
          <w:b/>
          <w:sz w:val="24"/>
          <w:szCs w:val="24"/>
          <w:lang w:val="en-US"/>
        </w:rPr>
        <w:t xml:space="preserve">Statement on the stages of the issuer’s securities issue –  </w:t>
      </w:r>
      <w:r>
        <w:rPr>
          <w:b/>
          <w:sz w:val="24"/>
          <w:szCs w:val="24"/>
          <w:lang w:val="en-US"/>
        </w:rPr>
        <w:t>S</w:t>
      </w:r>
      <w:r w:rsidRPr="00DC3A58">
        <w:rPr>
          <w:b/>
          <w:sz w:val="24"/>
          <w:szCs w:val="24"/>
          <w:lang w:val="en-US"/>
        </w:rPr>
        <w:t xml:space="preserve">ubmission to the registering body a </w:t>
      </w:r>
      <w:r>
        <w:rPr>
          <w:b/>
          <w:sz w:val="24"/>
          <w:szCs w:val="24"/>
          <w:lang w:val="en-US"/>
        </w:rPr>
        <w:t>notification</w:t>
      </w:r>
      <w:r w:rsidRPr="00DC3A58">
        <w:rPr>
          <w:b/>
          <w:sz w:val="24"/>
          <w:szCs w:val="24"/>
          <w:lang w:val="en-US"/>
        </w:rPr>
        <w:t xml:space="preserve"> on the results of additional issue of securities </w:t>
      </w:r>
    </w:p>
    <w:p w:rsidR="008A4AA8" w:rsidRDefault="008A4AA8" w:rsidP="008A4AA8">
      <w:pPr>
        <w:jc w:val="center"/>
        <w:rPr>
          <w:b/>
          <w:sz w:val="24"/>
          <w:szCs w:val="24"/>
          <w:lang w:val="en-US"/>
        </w:rPr>
      </w:pPr>
      <w:r w:rsidRPr="00DC3A58">
        <w:rPr>
          <w:b/>
          <w:sz w:val="24"/>
          <w:szCs w:val="24"/>
          <w:lang w:val="en-US"/>
        </w:rPr>
        <w:t>(disclosure of insider information)</w:t>
      </w:r>
    </w:p>
    <w:p w:rsidR="008A4AA8" w:rsidRPr="00DC3A58" w:rsidRDefault="008A4AA8" w:rsidP="008A4AA8">
      <w:pPr>
        <w:jc w:val="center"/>
        <w:rPr>
          <w:b/>
          <w:sz w:val="24"/>
          <w:szCs w:val="24"/>
          <w:lang w:val="en-US"/>
        </w:rPr>
      </w:pPr>
    </w:p>
    <w:tbl>
      <w:tblPr>
        <w:tblStyle w:val="a5"/>
        <w:tblW w:w="10348" w:type="dxa"/>
        <w:tblInd w:w="-147" w:type="dxa"/>
        <w:tblLook w:val="04A0" w:firstRow="1" w:lastRow="0" w:firstColumn="1" w:lastColumn="0" w:noHBand="0" w:noVBand="1"/>
      </w:tblPr>
      <w:tblGrid>
        <w:gridCol w:w="4791"/>
        <w:gridCol w:w="5557"/>
      </w:tblGrid>
      <w:tr w:rsidR="008A4AA8" w:rsidRPr="00DC3A58" w:rsidTr="006A375A">
        <w:tc>
          <w:tcPr>
            <w:tcW w:w="10348" w:type="dxa"/>
            <w:gridSpan w:val="2"/>
          </w:tcPr>
          <w:p w:rsidR="008A4AA8" w:rsidRPr="00DC3A58" w:rsidRDefault="008A4AA8" w:rsidP="006A375A">
            <w:pPr>
              <w:pStyle w:val="a4"/>
              <w:numPr>
                <w:ilvl w:val="0"/>
                <w:numId w:val="1"/>
              </w:numPr>
              <w:jc w:val="center"/>
              <w:rPr>
                <w:rFonts w:ascii="Times New Roman" w:hAnsi="Times New Roman" w:cs="Times New Roman"/>
                <w:sz w:val="24"/>
                <w:szCs w:val="24"/>
              </w:rPr>
            </w:pPr>
            <w:r w:rsidRPr="00DC3A58">
              <w:rPr>
                <w:rFonts w:ascii="Times New Roman" w:hAnsi="Times New Roman" w:cs="Times New Roman"/>
                <w:sz w:val="24"/>
                <w:szCs w:val="24"/>
                <w:lang w:val="en-US"/>
              </w:rPr>
              <w:t>General information</w:t>
            </w:r>
          </w:p>
        </w:tc>
      </w:tr>
      <w:tr w:rsidR="008A4AA8" w:rsidRPr="00755731" w:rsidTr="006A375A">
        <w:tc>
          <w:tcPr>
            <w:tcW w:w="4791" w:type="dxa"/>
          </w:tcPr>
          <w:p w:rsidR="008A4AA8" w:rsidRPr="00DC3A58" w:rsidRDefault="008A4AA8" w:rsidP="006A375A">
            <w:pPr>
              <w:pStyle w:val="a4"/>
              <w:rPr>
                <w:rFonts w:ascii="Times New Roman" w:hAnsi="Times New Roman" w:cs="Times New Roman"/>
                <w:sz w:val="24"/>
                <w:szCs w:val="24"/>
                <w:lang w:val="en-US"/>
              </w:rPr>
            </w:pPr>
            <w:r w:rsidRPr="00DC3A58">
              <w:rPr>
                <w:rFonts w:ascii="Times New Roman" w:hAnsi="Times New Roman" w:cs="Times New Roman"/>
                <w:sz w:val="24"/>
                <w:szCs w:val="24"/>
                <w:lang w:val="en-US"/>
              </w:rPr>
              <w:t>1.1  Full name of the issuer</w:t>
            </w:r>
          </w:p>
        </w:tc>
        <w:tc>
          <w:tcPr>
            <w:tcW w:w="5557" w:type="dxa"/>
          </w:tcPr>
          <w:p w:rsidR="008A4AA8" w:rsidRPr="00DC3A58" w:rsidRDefault="008A4AA8" w:rsidP="006A375A">
            <w:pPr>
              <w:pStyle w:val="a4"/>
              <w:rPr>
                <w:rFonts w:ascii="Times New Roman" w:hAnsi="Times New Roman" w:cs="Times New Roman"/>
                <w:sz w:val="24"/>
                <w:szCs w:val="24"/>
                <w:lang w:val="en-US"/>
              </w:rPr>
            </w:pPr>
            <w:r w:rsidRPr="00DC3A58">
              <w:rPr>
                <w:rFonts w:ascii="Times New Roman" w:hAnsi="Times New Roman" w:cs="Times New Roman"/>
                <w:sz w:val="24"/>
                <w:szCs w:val="24"/>
                <w:lang w:val="en-US"/>
              </w:rPr>
              <w:t>Public</w:t>
            </w:r>
            <w:r w:rsidRPr="00DC3A58">
              <w:rPr>
                <w:rFonts w:ascii="Times New Roman" w:hAnsi="Times New Roman" w:cs="Times New Roman"/>
                <w:sz w:val="24"/>
                <w:szCs w:val="24"/>
                <w:lang w:val="en-GB"/>
              </w:rPr>
              <w:t xml:space="preserve"> joint stock company of power industry and electrification of Kuban</w:t>
            </w:r>
          </w:p>
        </w:tc>
      </w:tr>
      <w:tr w:rsidR="008A4AA8" w:rsidRPr="00DC3A58" w:rsidTr="006A375A">
        <w:trPr>
          <w:trHeight w:val="144"/>
        </w:trPr>
        <w:tc>
          <w:tcPr>
            <w:tcW w:w="4791" w:type="dxa"/>
          </w:tcPr>
          <w:p w:rsidR="008A4AA8" w:rsidRPr="00DC3A58" w:rsidRDefault="008A4AA8" w:rsidP="006A375A">
            <w:pPr>
              <w:pStyle w:val="a4"/>
              <w:rPr>
                <w:rFonts w:ascii="Times New Roman" w:hAnsi="Times New Roman" w:cs="Times New Roman"/>
                <w:sz w:val="24"/>
                <w:szCs w:val="24"/>
                <w:lang w:val="en-US"/>
              </w:rPr>
            </w:pPr>
            <w:r w:rsidRPr="00DC3A58">
              <w:rPr>
                <w:rFonts w:ascii="Times New Roman" w:hAnsi="Times New Roman" w:cs="Times New Roman"/>
                <w:sz w:val="24"/>
                <w:szCs w:val="24"/>
                <w:lang w:val="en-US"/>
              </w:rPr>
              <w:t>1.2. Abbreviated name</w:t>
            </w:r>
            <w:r w:rsidRPr="00DC3A58">
              <w:rPr>
                <w:rFonts w:ascii="Times New Roman" w:hAnsi="Times New Roman" w:cs="Times New Roman"/>
                <w:b/>
                <w:i/>
                <w:sz w:val="24"/>
                <w:szCs w:val="24"/>
                <w:lang w:val="en-US"/>
              </w:rPr>
              <w:t xml:space="preserve"> </w:t>
            </w:r>
            <w:r w:rsidRPr="00DC3A58">
              <w:rPr>
                <w:rFonts w:ascii="Times New Roman" w:hAnsi="Times New Roman" w:cs="Times New Roman"/>
                <w:sz w:val="24"/>
                <w:szCs w:val="24"/>
                <w:lang w:val="en-US"/>
              </w:rPr>
              <w:t>of the issuer</w:t>
            </w:r>
          </w:p>
        </w:tc>
        <w:tc>
          <w:tcPr>
            <w:tcW w:w="5557" w:type="dxa"/>
          </w:tcPr>
          <w:p w:rsidR="008A4AA8" w:rsidRPr="00DC3A58" w:rsidRDefault="008A4AA8" w:rsidP="006A375A">
            <w:pPr>
              <w:pStyle w:val="a4"/>
              <w:rPr>
                <w:rFonts w:ascii="Times New Roman" w:hAnsi="Times New Roman" w:cs="Times New Roman"/>
                <w:sz w:val="24"/>
                <w:szCs w:val="24"/>
                <w:lang w:val="en-US"/>
              </w:rPr>
            </w:pPr>
            <w:r w:rsidRPr="00DC3A58">
              <w:rPr>
                <w:rFonts w:ascii="Times New Roman" w:hAnsi="Times New Roman" w:cs="Times New Roman"/>
                <w:sz w:val="24"/>
                <w:szCs w:val="24"/>
                <w:lang w:val="en-US"/>
              </w:rPr>
              <w:t>Kubanenergo PJSC</w:t>
            </w:r>
          </w:p>
        </w:tc>
      </w:tr>
      <w:tr w:rsidR="008A4AA8" w:rsidRPr="00DC3A58" w:rsidTr="006A375A">
        <w:tc>
          <w:tcPr>
            <w:tcW w:w="4791" w:type="dxa"/>
          </w:tcPr>
          <w:p w:rsidR="008A4AA8" w:rsidRPr="00DC3A58" w:rsidRDefault="008A4AA8" w:rsidP="006A375A">
            <w:pPr>
              <w:pStyle w:val="a4"/>
              <w:rPr>
                <w:rFonts w:ascii="Times New Roman" w:hAnsi="Times New Roman" w:cs="Times New Roman"/>
                <w:sz w:val="24"/>
                <w:szCs w:val="24"/>
                <w:lang w:val="en-US"/>
              </w:rPr>
            </w:pPr>
            <w:r w:rsidRPr="00DC3A58">
              <w:rPr>
                <w:rFonts w:ascii="Times New Roman" w:hAnsi="Times New Roman" w:cs="Times New Roman"/>
                <w:sz w:val="24"/>
                <w:szCs w:val="24"/>
              </w:rPr>
              <w:t xml:space="preserve">1.3. </w:t>
            </w:r>
            <w:r w:rsidRPr="00DC3A58">
              <w:rPr>
                <w:rFonts w:ascii="Times New Roman" w:hAnsi="Times New Roman" w:cs="Times New Roman"/>
                <w:sz w:val="24"/>
                <w:szCs w:val="24"/>
                <w:lang w:val="en-US"/>
              </w:rPr>
              <w:t>Location</w:t>
            </w:r>
            <w:r w:rsidRPr="00DC3A58">
              <w:rPr>
                <w:rFonts w:ascii="Times New Roman" w:hAnsi="Times New Roman" w:cs="Times New Roman"/>
                <w:b/>
                <w:i/>
                <w:sz w:val="24"/>
                <w:szCs w:val="24"/>
              </w:rPr>
              <w:t xml:space="preserve"> </w:t>
            </w:r>
            <w:r w:rsidRPr="00DC3A58">
              <w:rPr>
                <w:rFonts w:ascii="Times New Roman" w:hAnsi="Times New Roman" w:cs="Times New Roman"/>
                <w:sz w:val="24"/>
                <w:szCs w:val="24"/>
                <w:lang w:val="en-US"/>
              </w:rPr>
              <w:t>of the issuer</w:t>
            </w:r>
          </w:p>
        </w:tc>
        <w:tc>
          <w:tcPr>
            <w:tcW w:w="5557" w:type="dxa"/>
          </w:tcPr>
          <w:p w:rsidR="008A4AA8" w:rsidRPr="00DC3A58" w:rsidRDefault="008A4AA8" w:rsidP="006A375A">
            <w:pPr>
              <w:rPr>
                <w:sz w:val="24"/>
                <w:szCs w:val="24"/>
                <w:lang w:val="en-US"/>
              </w:rPr>
            </w:pPr>
            <w:r w:rsidRPr="00DC3A58">
              <w:rPr>
                <w:sz w:val="24"/>
                <w:szCs w:val="24"/>
                <w:lang w:val="en-US"/>
              </w:rPr>
              <w:t xml:space="preserve">Krasnodar, Russian Federation </w:t>
            </w:r>
          </w:p>
        </w:tc>
      </w:tr>
      <w:tr w:rsidR="008A4AA8" w:rsidRPr="00DC3A58" w:rsidTr="006A375A">
        <w:tc>
          <w:tcPr>
            <w:tcW w:w="4791" w:type="dxa"/>
          </w:tcPr>
          <w:p w:rsidR="008A4AA8" w:rsidRPr="00DC3A58" w:rsidRDefault="008A4AA8" w:rsidP="006A375A">
            <w:pPr>
              <w:pStyle w:val="a4"/>
              <w:rPr>
                <w:rFonts w:ascii="Times New Roman" w:hAnsi="Times New Roman" w:cs="Times New Roman"/>
                <w:sz w:val="24"/>
                <w:szCs w:val="24"/>
                <w:lang w:val="en-US"/>
              </w:rPr>
            </w:pPr>
            <w:r w:rsidRPr="00DC3A58">
              <w:rPr>
                <w:rFonts w:ascii="Times New Roman" w:hAnsi="Times New Roman" w:cs="Times New Roman"/>
                <w:sz w:val="24"/>
                <w:szCs w:val="24"/>
                <w:lang w:val="en-US"/>
              </w:rPr>
              <w:t>1.4. PSRN of the issuer</w:t>
            </w:r>
          </w:p>
        </w:tc>
        <w:tc>
          <w:tcPr>
            <w:tcW w:w="5557" w:type="dxa"/>
          </w:tcPr>
          <w:p w:rsidR="008A4AA8" w:rsidRPr="00DC3A58" w:rsidRDefault="008A4AA8" w:rsidP="006A375A">
            <w:pPr>
              <w:pStyle w:val="a4"/>
              <w:rPr>
                <w:rFonts w:ascii="Times New Roman" w:hAnsi="Times New Roman" w:cs="Times New Roman"/>
                <w:sz w:val="24"/>
                <w:szCs w:val="24"/>
                <w:lang w:val="en-US"/>
              </w:rPr>
            </w:pPr>
            <w:r w:rsidRPr="00DC3A58">
              <w:rPr>
                <w:rFonts w:ascii="Times New Roman" w:hAnsi="Times New Roman" w:cs="Times New Roman"/>
                <w:sz w:val="24"/>
                <w:szCs w:val="24"/>
                <w:lang w:val="en-US"/>
              </w:rPr>
              <w:t>1022301427268</w:t>
            </w:r>
          </w:p>
        </w:tc>
      </w:tr>
      <w:tr w:rsidR="008A4AA8" w:rsidRPr="00DC3A58" w:rsidTr="006A375A">
        <w:tc>
          <w:tcPr>
            <w:tcW w:w="4791" w:type="dxa"/>
          </w:tcPr>
          <w:p w:rsidR="008A4AA8" w:rsidRPr="00DC3A58" w:rsidRDefault="008A4AA8" w:rsidP="006A375A">
            <w:pPr>
              <w:pStyle w:val="a4"/>
              <w:rPr>
                <w:rFonts w:ascii="Times New Roman" w:hAnsi="Times New Roman" w:cs="Times New Roman"/>
                <w:sz w:val="24"/>
                <w:szCs w:val="24"/>
                <w:lang w:val="en-US"/>
              </w:rPr>
            </w:pPr>
            <w:r w:rsidRPr="00DC3A58">
              <w:rPr>
                <w:rFonts w:ascii="Times New Roman" w:hAnsi="Times New Roman" w:cs="Times New Roman"/>
                <w:sz w:val="24"/>
                <w:szCs w:val="24"/>
                <w:lang w:val="en-US"/>
              </w:rPr>
              <w:t>1.5. TIN of the issuer</w:t>
            </w:r>
          </w:p>
        </w:tc>
        <w:tc>
          <w:tcPr>
            <w:tcW w:w="5557" w:type="dxa"/>
          </w:tcPr>
          <w:p w:rsidR="008A4AA8" w:rsidRPr="00DC3A58" w:rsidRDefault="008A4AA8" w:rsidP="006A375A">
            <w:pPr>
              <w:pStyle w:val="a4"/>
              <w:rPr>
                <w:rFonts w:ascii="Times New Roman" w:hAnsi="Times New Roman" w:cs="Times New Roman"/>
                <w:sz w:val="24"/>
                <w:szCs w:val="24"/>
                <w:lang w:val="en-US"/>
              </w:rPr>
            </w:pPr>
            <w:r w:rsidRPr="00DC3A58">
              <w:rPr>
                <w:rFonts w:ascii="Times New Roman" w:hAnsi="Times New Roman" w:cs="Times New Roman"/>
                <w:sz w:val="24"/>
                <w:szCs w:val="24"/>
                <w:lang w:val="en-US"/>
              </w:rPr>
              <w:t>2309001660</w:t>
            </w:r>
          </w:p>
        </w:tc>
      </w:tr>
      <w:tr w:rsidR="008A4AA8" w:rsidRPr="00DC3A58" w:rsidTr="006A375A">
        <w:tc>
          <w:tcPr>
            <w:tcW w:w="4791" w:type="dxa"/>
          </w:tcPr>
          <w:p w:rsidR="008A4AA8" w:rsidRPr="00DC3A58" w:rsidRDefault="008A4AA8" w:rsidP="006A375A">
            <w:pPr>
              <w:pStyle w:val="a4"/>
              <w:rPr>
                <w:rFonts w:ascii="Times New Roman" w:hAnsi="Times New Roman" w:cs="Times New Roman"/>
                <w:sz w:val="24"/>
                <w:szCs w:val="24"/>
                <w:lang w:val="en-US"/>
              </w:rPr>
            </w:pPr>
            <w:r w:rsidRPr="00DC3A58">
              <w:rPr>
                <w:rFonts w:ascii="Times New Roman" w:hAnsi="Times New Roman" w:cs="Times New Roman"/>
                <w:sz w:val="24"/>
                <w:szCs w:val="24"/>
                <w:lang w:val="en-US"/>
              </w:rPr>
              <w:t xml:space="preserve">1.6. </w:t>
            </w:r>
            <w:r w:rsidRPr="00DC3A58">
              <w:rPr>
                <w:rFonts w:ascii="Times New Roman" w:hAnsi="Times New Roman" w:cs="Times New Roman"/>
                <w:sz w:val="24"/>
                <w:szCs w:val="24"/>
                <w:lang w:val="en-GB"/>
              </w:rPr>
              <w:t>Issuer</w:t>
            </w:r>
            <w:r w:rsidRPr="00DC3A58">
              <w:rPr>
                <w:rFonts w:ascii="Times New Roman" w:hAnsi="Times New Roman" w:cs="Times New Roman"/>
                <w:sz w:val="24"/>
                <w:szCs w:val="24"/>
                <w:lang w:val="en-US"/>
              </w:rPr>
              <w:t>'</w:t>
            </w:r>
            <w:r w:rsidRPr="00DC3A58">
              <w:rPr>
                <w:rFonts w:ascii="Times New Roman" w:hAnsi="Times New Roman" w:cs="Times New Roman"/>
                <w:sz w:val="24"/>
                <w:szCs w:val="24"/>
                <w:lang w:val="en-GB"/>
              </w:rPr>
              <w:t>s unique code assigned by the registering body</w:t>
            </w:r>
          </w:p>
        </w:tc>
        <w:tc>
          <w:tcPr>
            <w:tcW w:w="5557" w:type="dxa"/>
          </w:tcPr>
          <w:p w:rsidR="008A4AA8" w:rsidRPr="00DC3A58" w:rsidRDefault="008A4AA8" w:rsidP="006A375A">
            <w:pPr>
              <w:pStyle w:val="a4"/>
              <w:rPr>
                <w:rFonts w:ascii="Times New Roman" w:hAnsi="Times New Roman" w:cs="Times New Roman"/>
                <w:sz w:val="24"/>
                <w:szCs w:val="24"/>
              </w:rPr>
            </w:pPr>
            <w:r w:rsidRPr="00DC3A58">
              <w:rPr>
                <w:rFonts w:ascii="Times New Roman" w:hAnsi="Times New Roman" w:cs="Times New Roman"/>
                <w:sz w:val="24"/>
                <w:szCs w:val="24"/>
              </w:rPr>
              <w:t>00063-А</w:t>
            </w:r>
          </w:p>
        </w:tc>
      </w:tr>
      <w:tr w:rsidR="008A4AA8" w:rsidRPr="00755731" w:rsidTr="006A375A">
        <w:tc>
          <w:tcPr>
            <w:tcW w:w="4791" w:type="dxa"/>
          </w:tcPr>
          <w:p w:rsidR="008A4AA8" w:rsidRPr="00DC3A58" w:rsidRDefault="008A4AA8" w:rsidP="006A375A">
            <w:pPr>
              <w:pStyle w:val="a4"/>
              <w:rPr>
                <w:rFonts w:ascii="Times New Roman" w:hAnsi="Times New Roman" w:cs="Times New Roman"/>
                <w:sz w:val="24"/>
                <w:szCs w:val="24"/>
                <w:lang w:val="en-US"/>
              </w:rPr>
            </w:pPr>
            <w:r w:rsidRPr="00DC3A58">
              <w:rPr>
                <w:rFonts w:ascii="Times New Roman" w:hAnsi="Times New Roman" w:cs="Times New Roman"/>
                <w:sz w:val="24"/>
                <w:szCs w:val="24"/>
                <w:lang w:val="en-US"/>
              </w:rPr>
              <w:t xml:space="preserve">1.7. Website used by the issuer for disclosure of information </w:t>
            </w:r>
          </w:p>
        </w:tc>
        <w:tc>
          <w:tcPr>
            <w:tcW w:w="5557" w:type="dxa"/>
          </w:tcPr>
          <w:p w:rsidR="008A4AA8" w:rsidRPr="00DC3A58" w:rsidRDefault="008A4AA8" w:rsidP="006A375A">
            <w:pPr>
              <w:rPr>
                <w:sz w:val="24"/>
                <w:szCs w:val="24"/>
                <w:lang w:val="en-US"/>
              </w:rPr>
            </w:pPr>
            <w:hyperlink r:id="rId6" w:history="1">
              <w:r w:rsidRPr="00DC3A58">
                <w:rPr>
                  <w:rStyle w:val="a3"/>
                  <w:sz w:val="24"/>
                  <w:szCs w:val="24"/>
                  <w:lang w:val="en-US"/>
                </w:rPr>
                <w:t>http://www.kubanenergo.ru</w:t>
              </w:r>
            </w:hyperlink>
            <w:r w:rsidRPr="00DC3A58">
              <w:rPr>
                <w:sz w:val="24"/>
                <w:szCs w:val="24"/>
                <w:lang w:val="en-US"/>
              </w:rPr>
              <w:t xml:space="preserve"> </w:t>
            </w:r>
          </w:p>
          <w:p w:rsidR="008A4AA8" w:rsidRPr="00DC3A58" w:rsidRDefault="008A4AA8" w:rsidP="006A375A">
            <w:pPr>
              <w:pStyle w:val="a4"/>
              <w:rPr>
                <w:rFonts w:ascii="Times New Roman" w:hAnsi="Times New Roman" w:cs="Times New Roman"/>
                <w:color w:val="0000FF"/>
                <w:sz w:val="24"/>
                <w:szCs w:val="24"/>
                <w:u w:val="single"/>
                <w:lang w:val="en-US" w:eastAsia="ru-RU"/>
              </w:rPr>
            </w:pPr>
            <w:hyperlink r:id="rId7" w:history="1">
              <w:r w:rsidRPr="00DC3A58">
                <w:rPr>
                  <w:rStyle w:val="a3"/>
                  <w:rFonts w:ascii="Times New Roman" w:hAnsi="Times New Roman"/>
                  <w:sz w:val="24"/>
                  <w:szCs w:val="24"/>
                  <w:lang w:val="en-US" w:eastAsia="ru-RU"/>
                </w:rPr>
                <w:t>http://www.e-disclosure.ru/portal/company.aspx?id=2827</w:t>
              </w:r>
            </w:hyperlink>
          </w:p>
        </w:tc>
      </w:tr>
    </w:tbl>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9"/>
        <w:gridCol w:w="1976"/>
        <w:gridCol w:w="3123"/>
      </w:tblGrid>
      <w:tr w:rsidR="008A4AA8" w:rsidRPr="00DC3A58" w:rsidTr="006A375A">
        <w:tc>
          <w:tcPr>
            <w:tcW w:w="10348" w:type="dxa"/>
            <w:gridSpan w:val="3"/>
          </w:tcPr>
          <w:p w:rsidR="008A4AA8" w:rsidRPr="00DC3A58" w:rsidRDefault="008A4AA8" w:rsidP="006A375A">
            <w:pPr>
              <w:jc w:val="center"/>
              <w:rPr>
                <w:sz w:val="24"/>
                <w:szCs w:val="24"/>
              </w:rPr>
            </w:pPr>
            <w:r w:rsidRPr="00DC3A58">
              <w:rPr>
                <w:sz w:val="24"/>
                <w:szCs w:val="24"/>
              </w:rPr>
              <w:t xml:space="preserve">2. </w:t>
            </w:r>
            <w:r w:rsidRPr="00DC3A58">
              <w:rPr>
                <w:sz w:val="24"/>
                <w:szCs w:val="24"/>
                <w:lang w:val="en-US"/>
              </w:rPr>
              <w:t>Statement content</w:t>
            </w:r>
          </w:p>
        </w:tc>
      </w:tr>
      <w:tr w:rsidR="008A4AA8" w:rsidRPr="00755731" w:rsidTr="006A375A">
        <w:trPr>
          <w:trHeight w:val="1971"/>
        </w:trPr>
        <w:tc>
          <w:tcPr>
            <w:tcW w:w="10348" w:type="dxa"/>
            <w:gridSpan w:val="3"/>
          </w:tcPr>
          <w:p w:rsidR="008A4AA8" w:rsidRPr="00DC3A58" w:rsidRDefault="008A4AA8" w:rsidP="006A375A">
            <w:pPr>
              <w:ind w:right="114"/>
              <w:jc w:val="both"/>
              <w:rPr>
                <w:b/>
                <w:bCs/>
                <w:iCs/>
                <w:sz w:val="24"/>
                <w:szCs w:val="24"/>
                <w:lang w:val="en-US"/>
              </w:rPr>
            </w:pPr>
            <w:r w:rsidRPr="00DC3A58">
              <w:rPr>
                <w:sz w:val="24"/>
                <w:szCs w:val="24"/>
                <w:lang w:val="en-US"/>
              </w:rPr>
              <w:t xml:space="preserve">2.1. Type, category (kind), series and other identification characteristics of securities: </w:t>
            </w:r>
            <w:r w:rsidRPr="00DC3A58">
              <w:rPr>
                <w:b/>
                <w:sz w:val="24"/>
                <w:szCs w:val="24"/>
                <w:lang w:val="en-US"/>
              </w:rPr>
              <w:t>uncertified registered ordinary share</w:t>
            </w:r>
            <w:r w:rsidRPr="00DC3A58">
              <w:rPr>
                <w:sz w:val="24"/>
                <w:szCs w:val="24"/>
                <w:lang w:val="en-US"/>
              </w:rPr>
              <w:t xml:space="preserve"> </w:t>
            </w:r>
            <w:r w:rsidRPr="00DC3A58">
              <w:rPr>
                <w:b/>
                <w:sz w:val="24"/>
                <w:szCs w:val="24"/>
                <w:lang w:val="en-US"/>
              </w:rPr>
              <w:t>(state registration number of the additional issue of securities and the date of its assigning: 1-02-00063-A, 15.12.2016, International Securities Identification Number (ISIN):RU0009046767)</w:t>
            </w:r>
          </w:p>
          <w:p w:rsidR="008A4AA8" w:rsidRPr="00DC3A58" w:rsidRDefault="008A4AA8" w:rsidP="006A375A">
            <w:pPr>
              <w:ind w:right="114"/>
              <w:jc w:val="both"/>
              <w:rPr>
                <w:sz w:val="24"/>
                <w:szCs w:val="24"/>
                <w:lang w:val="en-US"/>
              </w:rPr>
            </w:pPr>
            <w:r w:rsidRPr="00DC3A58">
              <w:rPr>
                <w:sz w:val="24"/>
                <w:szCs w:val="24"/>
                <w:lang w:val="en-US"/>
              </w:rPr>
              <w:t xml:space="preserve">2.2. Redemption term (for bonds and issuer’s options): </w:t>
            </w:r>
            <w:r w:rsidRPr="00DC3A58">
              <w:rPr>
                <w:b/>
                <w:sz w:val="24"/>
                <w:szCs w:val="24"/>
                <w:lang w:val="en-US"/>
              </w:rPr>
              <w:t>such information is not specified for this type of securities</w:t>
            </w:r>
          </w:p>
          <w:p w:rsidR="008A4AA8" w:rsidRPr="00DC3A58" w:rsidRDefault="008A4AA8" w:rsidP="006A375A">
            <w:pPr>
              <w:shd w:val="clear" w:color="auto" w:fill="FFFFFF"/>
              <w:spacing w:line="210" w:lineRule="atLeast"/>
              <w:jc w:val="both"/>
              <w:rPr>
                <w:b/>
                <w:sz w:val="24"/>
                <w:szCs w:val="24"/>
                <w:lang w:val="en-US"/>
              </w:rPr>
            </w:pPr>
            <w:r w:rsidRPr="00DC3A58">
              <w:rPr>
                <w:sz w:val="24"/>
                <w:szCs w:val="24"/>
                <w:lang w:val="en-US"/>
              </w:rPr>
              <w:t xml:space="preserve">2.3. State registration number of the issue (additional issue) of securities and the date of its assigning: </w:t>
            </w:r>
            <w:r w:rsidRPr="00DC3A58">
              <w:rPr>
                <w:b/>
                <w:sz w:val="24"/>
                <w:szCs w:val="24"/>
                <w:lang w:val="en-US"/>
              </w:rPr>
              <w:t>1-02-00063-A), 15.12.2016</w:t>
            </w:r>
          </w:p>
          <w:p w:rsidR="008A4AA8" w:rsidRPr="00DC3A58" w:rsidRDefault="008A4AA8" w:rsidP="006A375A">
            <w:pPr>
              <w:shd w:val="clear" w:color="auto" w:fill="FFFFFF"/>
              <w:spacing w:line="210" w:lineRule="atLeast"/>
              <w:jc w:val="both"/>
              <w:rPr>
                <w:b/>
                <w:sz w:val="24"/>
                <w:szCs w:val="24"/>
                <w:lang w:val="en-US"/>
              </w:rPr>
            </w:pPr>
            <w:r w:rsidRPr="00DC3A58">
              <w:rPr>
                <w:sz w:val="24"/>
                <w:szCs w:val="24"/>
                <w:lang w:val="en-US"/>
              </w:rPr>
              <w:t xml:space="preserve">2.4. The registering body that conducted the state registration of the issue (additional issue) of securities: </w:t>
            </w:r>
            <w:proofErr w:type="gramStart"/>
            <w:r w:rsidRPr="00DC3A58">
              <w:rPr>
                <w:b/>
                <w:sz w:val="24"/>
                <w:szCs w:val="24"/>
                <w:lang w:val="en-US"/>
              </w:rPr>
              <w:t>the</w:t>
            </w:r>
            <w:proofErr w:type="gramEnd"/>
            <w:r w:rsidRPr="00DC3A58">
              <w:rPr>
                <w:sz w:val="24"/>
                <w:szCs w:val="24"/>
                <w:lang w:val="en-US"/>
              </w:rPr>
              <w:t xml:space="preserve"> </w:t>
            </w:r>
            <w:r w:rsidRPr="00DC3A58">
              <w:rPr>
                <w:b/>
                <w:sz w:val="24"/>
                <w:szCs w:val="24"/>
                <w:lang w:val="en-US"/>
              </w:rPr>
              <w:t xml:space="preserve">Bank of Russia </w:t>
            </w:r>
          </w:p>
          <w:p w:rsidR="008A4AA8" w:rsidRPr="00DC3A58" w:rsidRDefault="008A4AA8" w:rsidP="006A375A">
            <w:pPr>
              <w:shd w:val="clear" w:color="auto" w:fill="FFFFFF"/>
              <w:spacing w:line="210" w:lineRule="atLeast"/>
              <w:jc w:val="both"/>
              <w:rPr>
                <w:b/>
                <w:sz w:val="24"/>
                <w:szCs w:val="24"/>
                <w:lang w:val="en-US"/>
              </w:rPr>
            </w:pPr>
            <w:r w:rsidRPr="00DC3A58">
              <w:rPr>
                <w:sz w:val="24"/>
                <w:szCs w:val="24"/>
                <w:lang w:val="en-US"/>
              </w:rPr>
              <w:t>2.5.</w:t>
            </w:r>
            <w:r w:rsidRPr="00DC3A58">
              <w:rPr>
                <w:b/>
                <w:sz w:val="24"/>
                <w:szCs w:val="24"/>
                <w:lang w:val="en-US"/>
              </w:rPr>
              <w:t xml:space="preserve"> </w:t>
            </w:r>
            <w:r w:rsidRPr="00DC3A58">
              <w:rPr>
                <w:sz w:val="24"/>
                <w:szCs w:val="24"/>
                <w:lang w:val="en-US"/>
              </w:rPr>
              <w:t xml:space="preserve">Number of the placed securities and par value of each: </w:t>
            </w:r>
            <w:r w:rsidRPr="00DC3A58">
              <w:rPr>
                <w:b/>
                <w:sz w:val="24"/>
                <w:szCs w:val="24"/>
                <w:lang w:val="en-US"/>
              </w:rPr>
              <w:t xml:space="preserve">20 925 220 (twenty million nine hundred </w:t>
            </w:r>
            <w:proofErr w:type="gramStart"/>
            <w:r w:rsidRPr="00DC3A58">
              <w:rPr>
                <w:b/>
                <w:sz w:val="24"/>
                <w:szCs w:val="24"/>
                <w:lang w:val="en-US"/>
              </w:rPr>
              <w:t>twenty five</w:t>
            </w:r>
            <w:proofErr w:type="gramEnd"/>
            <w:r w:rsidRPr="00DC3A58">
              <w:rPr>
                <w:b/>
                <w:sz w:val="24"/>
                <w:szCs w:val="24"/>
                <w:lang w:val="en-US"/>
              </w:rPr>
              <w:t xml:space="preserve"> thousand two hundred twenty) securities 100 (one hundred) rubles each</w:t>
            </w:r>
          </w:p>
          <w:p w:rsidR="008A4AA8" w:rsidRPr="00DC3A58" w:rsidRDefault="008A4AA8" w:rsidP="006A375A">
            <w:pPr>
              <w:shd w:val="clear" w:color="auto" w:fill="FFFFFF"/>
              <w:spacing w:line="210" w:lineRule="atLeast"/>
              <w:jc w:val="both"/>
              <w:rPr>
                <w:b/>
                <w:sz w:val="24"/>
                <w:szCs w:val="24"/>
                <w:lang w:val="en-US"/>
              </w:rPr>
            </w:pPr>
            <w:r w:rsidRPr="00DC3A58">
              <w:rPr>
                <w:sz w:val="24"/>
                <w:szCs w:val="24"/>
                <w:lang w:val="en-US"/>
              </w:rPr>
              <w:t xml:space="preserve">2.6. Share of the placed securities from the total amount of securities of the issue (additional issue) provided for placement: </w:t>
            </w:r>
            <w:r w:rsidRPr="00DC3A58">
              <w:rPr>
                <w:b/>
                <w:sz w:val="24"/>
                <w:szCs w:val="24"/>
                <w:lang w:val="en-US"/>
              </w:rPr>
              <w:t>36.42%</w:t>
            </w:r>
          </w:p>
          <w:p w:rsidR="008A4AA8" w:rsidRPr="00DC3A58" w:rsidRDefault="008A4AA8" w:rsidP="006A375A">
            <w:pPr>
              <w:shd w:val="clear" w:color="auto" w:fill="FFFFFF"/>
              <w:spacing w:line="210" w:lineRule="atLeast"/>
              <w:jc w:val="both"/>
              <w:rPr>
                <w:b/>
                <w:sz w:val="24"/>
                <w:szCs w:val="24"/>
                <w:lang w:val="en-US"/>
              </w:rPr>
            </w:pPr>
            <w:r w:rsidRPr="00DC3A58">
              <w:rPr>
                <w:sz w:val="24"/>
                <w:szCs w:val="24"/>
                <w:lang w:val="en-US"/>
              </w:rPr>
              <w:t>2.7.</w:t>
            </w:r>
            <w:r w:rsidRPr="00DC3A58">
              <w:rPr>
                <w:b/>
                <w:sz w:val="24"/>
                <w:szCs w:val="24"/>
                <w:lang w:val="en-US"/>
              </w:rPr>
              <w:t xml:space="preserve"> </w:t>
            </w:r>
            <w:r w:rsidRPr="00DC3A58">
              <w:rPr>
                <w:sz w:val="24"/>
                <w:szCs w:val="24"/>
                <w:lang w:val="en-US"/>
              </w:rPr>
              <w:t xml:space="preserve">Method of placement of securities: </w:t>
            </w:r>
            <w:r w:rsidRPr="00DC3A58">
              <w:rPr>
                <w:b/>
                <w:sz w:val="24"/>
                <w:szCs w:val="24"/>
                <w:lang w:val="en-US"/>
              </w:rPr>
              <w:t>public offering</w:t>
            </w:r>
          </w:p>
          <w:p w:rsidR="008A4AA8" w:rsidRPr="00DC3A58" w:rsidRDefault="008A4AA8" w:rsidP="006A375A">
            <w:pPr>
              <w:shd w:val="clear" w:color="auto" w:fill="FFFFFF"/>
              <w:spacing w:line="210" w:lineRule="atLeast"/>
              <w:jc w:val="both"/>
              <w:rPr>
                <w:b/>
                <w:sz w:val="24"/>
                <w:szCs w:val="24"/>
                <w:lang w:val="en-US"/>
              </w:rPr>
            </w:pPr>
            <w:r w:rsidRPr="00DC3A58">
              <w:rPr>
                <w:sz w:val="24"/>
                <w:szCs w:val="24"/>
                <w:lang w:val="en-US"/>
              </w:rPr>
              <w:t xml:space="preserve">2.8. Date of the actual start of securities placement (date of the first transaction on transfer of securities to the first buyer): </w:t>
            </w:r>
            <w:r w:rsidRPr="00DC3A58">
              <w:rPr>
                <w:b/>
                <w:sz w:val="24"/>
                <w:szCs w:val="24"/>
                <w:lang w:val="en-US"/>
              </w:rPr>
              <w:t>18.01.2017</w:t>
            </w:r>
          </w:p>
          <w:p w:rsidR="008A4AA8" w:rsidRPr="00DC3A58" w:rsidRDefault="008A4AA8" w:rsidP="006A375A">
            <w:pPr>
              <w:shd w:val="clear" w:color="auto" w:fill="FFFFFF"/>
              <w:spacing w:line="210" w:lineRule="atLeast"/>
              <w:jc w:val="both"/>
              <w:rPr>
                <w:b/>
                <w:sz w:val="24"/>
                <w:szCs w:val="24"/>
                <w:lang w:val="en-US"/>
              </w:rPr>
            </w:pPr>
            <w:r w:rsidRPr="00DC3A58">
              <w:rPr>
                <w:sz w:val="24"/>
                <w:szCs w:val="24"/>
                <w:lang w:val="en-US"/>
              </w:rPr>
              <w:t xml:space="preserve">2.9. The date of the actual end of securities placement (the date of the last entry in the personal account (depo account) of the first owner made in the system for recording rights on securities of the issue (additional issue) or the date of issue of the last certificate of the certified security of the issue (additional issue) without mandatory centralized storage): </w:t>
            </w:r>
            <w:r w:rsidR="005B767F">
              <w:rPr>
                <w:b/>
                <w:sz w:val="24"/>
                <w:szCs w:val="24"/>
                <w:lang w:val="en-US"/>
              </w:rPr>
              <w:t>28.03.2018</w:t>
            </w:r>
          </w:p>
          <w:p w:rsidR="008A4AA8" w:rsidRPr="00DC3A58" w:rsidRDefault="008A4AA8" w:rsidP="006A375A">
            <w:pPr>
              <w:shd w:val="clear" w:color="auto" w:fill="FFFFFF"/>
              <w:spacing w:line="210" w:lineRule="atLeast"/>
              <w:jc w:val="both"/>
              <w:rPr>
                <w:sz w:val="24"/>
                <w:szCs w:val="24"/>
                <w:lang w:val="en-US"/>
              </w:rPr>
            </w:pPr>
            <w:r w:rsidRPr="00DC3A58">
              <w:rPr>
                <w:sz w:val="24"/>
                <w:szCs w:val="24"/>
                <w:lang w:val="en-US"/>
              </w:rPr>
              <w:t xml:space="preserve">2.10.  Date of submission (sending) of notification on the results of the issue (additional issue) of securities to the registering body: </w:t>
            </w:r>
            <w:r w:rsidRPr="00DC3A58">
              <w:rPr>
                <w:b/>
                <w:sz w:val="24"/>
                <w:szCs w:val="24"/>
                <w:lang w:val="en-US"/>
              </w:rPr>
              <w:t>25.04.2018</w:t>
            </w:r>
          </w:p>
          <w:p w:rsidR="008A4AA8" w:rsidRPr="00DC3A58" w:rsidRDefault="008A4AA8" w:rsidP="006A375A">
            <w:pPr>
              <w:shd w:val="clear" w:color="auto" w:fill="FFFFFF"/>
              <w:spacing w:line="210" w:lineRule="atLeast"/>
              <w:jc w:val="both"/>
              <w:rPr>
                <w:b/>
                <w:sz w:val="24"/>
                <w:szCs w:val="24"/>
                <w:lang w:val="en-US"/>
              </w:rPr>
            </w:pPr>
            <w:r w:rsidRPr="00DC3A58">
              <w:rPr>
                <w:sz w:val="24"/>
                <w:szCs w:val="24"/>
                <w:lang w:val="en-US"/>
              </w:rPr>
              <w:t xml:space="preserve">2.11. Trade organizer that admitted the placed securities of the issuer to the on-exchange trading: </w:t>
            </w:r>
            <w:r w:rsidRPr="00DC3A58">
              <w:rPr>
                <w:b/>
                <w:sz w:val="24"/>
                <w:szCs w:val="24"/>
                <w:lang w:val="en-US"/>
              </w:rPr>
              <w:t>Moscow Exchange MICEX-RTS PJSC</w:t>
            </w:r>
          </w:p>
          <w:p w:rsidR="008A4AA8" w:rsidRPr="00DC3A58" w:rsidRDefault="008A4AA8" w:rsidP="006A375A">
            <w:pPr>
              <w:shd w:val="clear" w:color="auto" w:fill="FFFFFF"/>
              <w:spacing w:line="210" w:lineRule="atLeast"/>
              <w:jc w:val="both"/>
              <w:rPr>
                <w:sz w:val="24"/>
                <w:szCs w:val="24"/>
                <w:lang w:val="en-US"/>
              </w:rPr>
            </w:pPr>
            <w:r w:rsidRPr="00DC3A58">
              <w:rPr>
                <w:sz w:val="24"/>
                <w:szCs w:val="24"/>
                <w:lang w:val="en-US"/>
              </w:rPr>
              <w:lastRenderedPageBreak/>
              <w:t xml:space="preserve">2.12. The fact of registration of the securities prospectus simultaneously with the state registration of the issue (additional issue) of these securities: </w:t>
            </w:r>
            <w:r w:rsidRPr="00DC3A58">
              <w:rPr>
                <w:b/>
                <w:sz w:val="24"/>
                <w:szCs w:val="24"/>
                <w:lang w:val="en-US"/>
              </w:rPr>
              <w:t>the securities prospectus was registered simultaneously with the state registration of the additional issue of securities</w:t>
            </w:r>
          </w:p>
          <w:p w:rsidR="008A4AA8" w:rsidRPr="00DC3A58" w:rsidRDefault="008A4AA8" w:rsidP="006A375A">
            <w:pPr>
              <w:shd w:val="clear" w:color="auto" w:fill="FFFFFF"/>
              <w:spacing w:line="210" w:lineRule="atLeast"/>
              <w:jc w:val="both"/>
              <w:rPr>
                <w:sz w:val="24"/>
                <w:szCs w:val="24"/>
                <w:lang w:val="en-US"/>
              </w:rPr>
            </w:pPr>
            <w:r w:rsidRPr="00DC3A58">
              <w:rPr>
                <w:sz w:val="24"/>
                <w:szCs w:val="24"/>
                <w:lang w:val="en-US"/>
              </w:rPr>
              <w:t>2.13. Access to information contained in the Notification on the results of the issue (additional issue) of securities:</w:t>
            </w:r>
          </w:p>
          <w:p w:rsidR="008A4AA8" w:rsidRPr="00DC3A58" w:rsidRDefault="008A4AA8" w:rsidP="006A375A">
            <w:pPr>
              <w:shd w:val="clear" w:color="auto" w:fill="FFFFFF"/>
              <w:spacing w:line="210" w:lineRule="atLeast"/>
              <w:jc w:val="both"/>
              <w:rPr>
                <w:sz w:val="24"/>
                <w:szCs w:val="24"/>
                <w:lang w:val="en-US"/>
              </w:rPr>
            </w:pPr>
            <w:r w:rsidRPr="00DC3A58">
              <w:rPr>
                <w:b/>
                <w:sz w:val="24"/>
                <w:szCs w:val="24"/>
                <w:lang w:val="en-US"/>
              </w:rPr>
              <w:t xml:space="preserve">The issuer shall publish the text of the Notification on the results of the additional issue of securities submitted to the registering authority on the Internet at: </w:t>
            </w:r>
            <w:hyperlink r:id="rId8" w:history="1">
              <w:r w:rsidRPr="00DC3A58">
                <w:rPr>
                  <w:rStyle w:val="a3"/>
                  <w:b/>
                  <w:sz w:val="24"/>
                  <w:szCs w:val="24"/>
                  <w:lang w:val="en-US"/>
                </w:rPr>
                <w:t>http://kubanenergo.ru/</w:t>
              </w:r>
            </w:hyperlink>
            <w:r w:rsidRPr="00DC3A58">
              <w:rPr>
                <w:b/>
                <w:sz w:val="24"/>
                <w:szCs w:val="24"/>
                <w:lang w:val="en-US"/>
              </w:rPr>
              <w:t xml:space="preserve"> and </w:t>
            </w:r>
            <w:hyperlink r:id="rId9" w:history="1">
              <w:r w:rsidRPr="00DC3A58">
                <w:rPr>
                  <w:rStyle w:val="a3"/>
                  <w:b/>
                  <w:sz w:val="24"/>
                  <w:szCs w:val="24"/>
                  <w:lang w:val="en-US"/>
                </w:rPr>
                <w:t>http://www.edisclosure.ru/portal/company.aspx?id=2827</w:t>
              </w:r>
            </w:hyperlink>
            <w:r w:rsidRPr="00DC3A58">
              <w:rPr>
                <w:b/>
                <w:sz w:val="24"/>
                <w:szCs w:val="24"/>
                <w:lang w:val="en-US"/>
              </w:rPr>
              <w:t xml:space="preserve"> within 2 (two) days after submission (sending) of the Notification on the results of the additional issue of the issuer's securities to the registering authority.</w:t>
            </w:r>
          </w:p>
          <w:p w:rsidR="008A4AA8" w:rsidRPr="00DC3A58" w:rsidRDefault="008A4AA8" w:rsidP="006A375A">
            <w:pPr>
              <w:shd w:val="clear" w:color="auto" w:fill="FFFFFF"/>
              <w:spacing w:line="210" w:lineRule="atLeast"/>
              <w:jc w:val="both"/>
              <w:rPr>
                <w:b/>
                <w:sz w:val="24"/>
                <w:szCs w:val="24"/>
                <w:lang w:val="en-US"/>
              </w:rPr>
            </w:pPr>
            <w:r w:rsidRPr="00DC3A58">
              <w:rPr>
                <w:b/>
                <w:sz w:val="24"/>
                <w:szCs w:val="24"/>
                <w:lang w:val="en-US"/>
              </w:rPr>
              <w:t>The text of the Notification on the results of the additional securities issue submitted to the registering authority should be available on the Internet for at least 12 months from the expiry of the period established by the Regulation on information disclosure by issuers of securities approved by the Bank of Russia on 30.12.2014 No. 454-</w:t>
            </w:r>
            <w:r w:rsidRPr="00DC3A58">
              <w:rPr>
                <w:b/>
                <w:sz w:val="24"/>
                <w:szCs w:val="24"/>
              </w:rPr>
              <w:t>П</w:t>
            </w:r>
            <w:r w:rsidRPr="00DC3A58">
              <w:rPr>
                <w:b/>
                <w:sz w:val="24"/>
                <w:szCs w:val="24"/>
                <w:lang w:val="en-US"/>
              </w:rPr>
              <w:t xml:space="preserve"> for its publication on the Internet, and if it is posted on the Internet after the expiry of such period – from the date of its publication on the Internet.</w:t>
            </w:r>
          </w:p>
          <w:p w:rsidR="008A4AA8" w:rsidRPr="00DC3A58" w:rsidRDefault="008A4AA8" w:rsidP="006A375A">
            <w:pPr>
              <w:shd w:val="clear" w:color="auto" w:fill="FFFFFF"/>
              <w:spacing w:line="210" w:lineRule="atLeast"/>
              <w:jc w:val="both"/>
              <w:rPr>
                <w:b/>
                <w:sz w:val="24"/>
                <w:szCs w:val="24"/>
                <w:lang w:val="en-US"/>
              </w:rPr>
            </w:pPr>
            <w:r w:rsidRPr="00DC3A58">
              <w:rPr>
                <w:b/>
                <w:sz w:val="24"/>
                <w:szCs w:val="24"/>
                <w:lang w:val="en-US"/>
              </w:rPr>
              <w:t>The Issuer provides access to any interested person to the information contained in the Notification on the results of the additional issue of securities by keeping a copy thereof at: Kubanenergo PJSC, 2A Stavropolskaya street, Krasnodar.</w:t>
            </w:r>
          </w:p>
          <w:p w:rsidR="008A4AA8" w:rsidRPr="00DC3A58" w:rsidRDefault="008A4AA8" w:rsidP="006A375A">
            <w:pPr>
              <w:shd w:val="clear" w:color="auto" w:fill="FFFFFF"/>
              <w:spacing w:line="210" w:lineRule="atLeast"/>
              <w:jc w:val="both"/>
              <w:rPr>
                <w:sz w:val="24"/>
                <w:szCs w:val="24"/>
                <w:lang w:val="en-US"/>
              </w:rPr>
            </w:pPr>
            <w:r w:rsidRPr="00DC3A58">
              <w:rPr>
                <w:b/>
                <w:sz w:val="24"/>
                <w:szCs w:val="24"/>
                <w:lang w:val="en-US"/>
              </w:rPr>
              <w:t>The Issuer is obliged to provide a copy of the Notification on the results of the additional securities issue to the holders of the issuer’s securities and other interested persons upon their request for a fee not exceeding the cost of making such a copy within a period of 7 days after receipt of the relevant request.</w:t>
            </w:r>
          </w:p>
        </w:tc>
      </w:tr>
      <w:tr w:rsidR="008A4AA8" w:rsidRPr="00DC3A58" w:rsidTr="006A375A">
        <w:tblPrEx>
          <w:tblCellMar>
            <w:left w:w="108" w:type="dxa"/>
            <w:right w:w="108" w:type="dxa"/>
          </w:tblCellMar>
          <w:tblLook w:val="04A0" w:firstRow="1" w:lastRow="0" w:firstColumn="1" w:lastColumn="0" w:noHBand="0" w:noVBand="1"/>
        </w:tblPrEx>
        <w:trPr>
          <w:cantSplit/>
        </w:trPr>
        <w:tc>
          <w:tcPr>
            <w:tcW w:w="10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A4AA8" w:rsidRPr="00DC3A58" w:rsidRDefault="008A4AA8" w:rsidP="006A375A">
            <w:pPr>
              <w:tabs>
                <w:tab w:val="left" w:pos="142"/>
                <w:tab w:val="left" w:pos="9465"/>
              </w:tabs>
              <w:spacing w:line="254" w:lineRule="auto"/>
              <w:ind w:left="142" w:right="189"/>
              <w:jc w:val="center"/>
              <w:rPr>
                <w:sz w:val="24"/>
                <w:szCs w:val="24"/>
                <w:lang w:val="en-US" w:eastAsia="en-US"/>
              </w:rPr>
            </w:pPr>
            <w:bookmarkStart w:id="0" w:name="_GoBack"/>
            <w:bookmarkEnd w:id="0"/>
            <w:r w:rsidRPr="00DC3A58">
              <w:rPr>
                <w:sz w:val="24"/>
                <w:szCs w:val="24"/>
                <w:lang w:val="en-US" w:eastAsia="en-US"/>
              </w:rPr>
              <w:lastRenderedPageBreak/>
              <w:t xml:space="preserve">3. Signature </w:t>
            </w:r>
          </w:p>
        </w:tc>
      </w:tr>
      <w:tr w:rsidR="008A4AA8" w:rsidRPr="00DC3A58" w:rsidTr="006A375A">
        <w:tblPrEx>
          <w:tblCellMar>
            <w:left w:w="108" w:type="dxa"/>
            <w:right w:w="108" w:type="dxa"/>
          </w:tblCellMar>
          <w:tblLook w:val="04A0" w:firstRow="1" w:lastRow="0" w:firstColumn="1" w:lastColumn="0" w:noHBand="0" w:noVBand="1"/>
        </w:tblPrEx>
        <w:trPr>
          <w:cantSplit/>
          <w:trHeight w:val="1187"/>
        </w:trPr>
        <w:tc>
          <w:tcPr>
            <w:tcW w:w="5249" w:type="dxa"/>
            <w:tcBorders>
              <w:top w:val="single" w:sz="4" w:space="0" w:color="auto"/>
              <w:left w:val="single" w:sz="4" w:space="0" w:color="auto"/>
              <w:bottom w:val="nil"/>
              <w:right w:val="nil"/>
            </w:tcBorders>
            <w:tcMar>
              <w:top w:w="0" w:type="dxa"/>
              <w:left w:w="28" w:type="dxa"/>
              <w:bottom w:w="0" w:type="dxa"/>
              <w:right w:w="28" w:type="dxa"/>
            </w:tcMar>
            <w:vAlign w:val="bottom"/>
          </w:tcPr>
          <w:p w:rsidR="008A4AA8" w:rsidRPr="00DC3A58" w:rsidRDefault="008A4AA8" w:rsidP="006A375A">
            <w:pPr>
              <w:pStyle w:val="Default"/>
              <w:spacing w:line="254" w:lineRule="auto"/>
              <w:jc w:val="both"/>
              <w:rPr>
                <w:color w:val="auto"/>
                <w:lang w:val="en-US"/>
              </w:rPr>
            </w:pPr>
            <w:r w:rsidRPr="00DC3A58">
              <w:rPr>
                <w:color w:val="auto"/>
                <w:lang w:val="en-US"/>
              </w:rPr>
              <w:t xml:space="preserve">3.1 Head of Corporate Governance and Shareholder Relations Department (by power of attorney No.119/10-946 </w:t>
            </w:r>
            <w:r w:rsidRPr="00DC3A58">
              <w:rPr>
                <w:lang w:val="en-US"/>
              </w:rPr>
              <w:t>dated 22.02.2018)</w:t>
            </w:r>
          </w:p>
          <w:p w:rsidR="008A4AA8" w:rsidRPr="00DC3A58" w:rsidRDefault="008A4AA8" w:rsidP="006A375A">
            <w:pPr>
              <w:spacing w:line="254" w:lineRule="auto"/>
              <w:ind w:left="57"/>
              <w:rPr>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8A4AA8" w:rsidRPr="00DC3A58" w:rsidRDefault="008A4AA8" w:rsidP="006A375A">
            <w:pPr>
              <w:spacing w:line="254" w:lineRule="auto"/>
              <w:jc w:val="center"/>
              <w:rPr>
                <w:sz w:val="24"/>
                <w:szCs w:val="24"/>
                <w:lang w:val="en-US" w:eastAsia="en-US"/>
              </w:rPr>
            </w:pPr>
            <w:r w:rsidRPr="00DC3A58">
              <w:rPr>
                <w:sz w:val="24"/>
                <w:szCs w:val="24"/>
                <w:lang w:val="en-US" w:eastAsia="en-US"/>
              </w:rPr>
              <w:t>________________</w:t>
            </w:r>
          </w:p>
          <w:p w:rsidR="008A4AA8" w:rsidRPr="00DC3A58" w:rsidRDefault="008A4AA8" w:rsidP="006A375A">
            <w:pPr>
              <w:spacing w:line="254" w:lineRule="auto"/>
              <w:jc w:val="center"/>
              <w:rPr>
                <w:sz w:val="24"/>
                <w:szCs w:val="24"/>
                <w:lang w:val="en-US" w:eastAsia="en-US"/>
              </w:rPr>
            </w:pPr>
            <w:r w:rsidRPr="00DC3A58">
              <w:rPr>
                <w:sz w:val="24"/>
                <w:szCs w:val="24"/>
                <w:lang w:val="en-US" w:eastAsia="en-US"/>
              </w:rPr>
              <w:t>(signature)</w:t>
            </w:r>
          </w:p>
        </w:tc>
        <w:tc>
          <w:tcPr>
            <w:tcW w:w="3123" w:type="dxa"/>
            <w:tcBorders>
              <w:top w:val="single" w:sz="4" w:space="0" w:color="auto"/>
              <w:left w:val="nil"/>
              <w:bottom w:val="nil"/>
              <w:right w:val="single" w:sz="4" w:space="0" w:color="auto"/>
            </w:tcBorders>
            <w:tcMar>
              <w:top w:w="0" w:type="dxa"/>
              <w:left w:w="28" w:type="dxa"/>
              <w:bottom w:w="0" w:type="dxa"/>
              <w:right w:w="28" w:type="dxa"/>
            </w:tcMar>
            <w:vAlign w:val="bottom"/>
          </w:tcPr>
          <w:p w:rsidR="008A4AA8" w:rsidRPr="00DC3A58" w:rsidRDefault="008A4AA8" w:rsidP="006A375A">
            <w:pPr>
              <w:spacing w:line="254" w:lineRule="auto"/>
              <w:rPr>
                <w:sz w:val="24"/>
                <w:szCs w:val="24"/>
                <w:lang w:val="en-US" w:eastAsia="en-US"/>
              </w:rPr>
            </w:pPr>
            <w:proofErr w:type="spellStart"/>
            <w:r w:rsidRPr="00DC3A58">
              <w:rPr>
                <w:sz w:val="24"/>
                <w:szCs w:val="24"/>
                <w:lang w:val="en-US" w:eastAsia="en-US"/>
              </w:rPr>
              <w:t>Didenko</w:t>
            </w:r>
            <w:proofErr w:type="spellEnd"/>
            <w:r w:rsidRPr="00DC3A58">
              <w:rPr>
                <w:sz w:val="24"/>
                <w:szCs w:val="24"/>
                <w:lang w:val="en-US" w:eastAsia="en-US"/>
              </w:rPr>
              <w:t xml:space="preserve"> </w:t>
            </w:r>
            <w:proofErr w:type="spellStart"/>
            <w:r w:rsidRPr="00DC3A58">
              <w:rPr>
                <w:sz w:val="24"/>
                <w:szCs w:val="24"/>
                <w:lang w:val="en-US" w:eastAsia="en-US"/>
              </w:rPr>
              <w:t>Ye.Ye</w:t>
            </w:r>
            <w:proofErr w:type="spellEnd"/>
            <w:r w:rsidRPr="00DC3A58">
              <w:rPr>
                <w:sz w:val="24"/>
                <w:szCs w:val="24"/>
                <w:lang w:val="en-US" w:eastAsia="en-US"/>
              </w:rPr>
              <w:t>.</w:t>
            </w:r>
          </w:p>
          <w:p w:rsidR="008A4AA8" w:rsidRPr="00DC3A58" w:rsidRDefault="008A4AA8" w:rsidP="006A375A">
            <w:pPr>
              <w:spacing w:line="254" w:lineRule="auto"/>
              <w:rPr>
                <w:sz w:val="24"/>
                <w:szCs w:val="24"/>
                <w:lang w:val="en-US" w:eastAsia="en-US"/>
              </w:rPr>
            </w:pPr>
          </w:p>
          <w:p w:rsidR="008A4AA8" w:rsidRPr="00DC3A58" w:rsidRDefault="008A4AA8" w:rsidP="006A375A">
            <w:pPr>
              <w:spacing w:line="254" w:lineRule="auto"/>
              <w:rPr>
                <w:sz w:val="24"/>
                <w:szCs w:val="24"/>
                <w:lang w:val="en-US" w:eastAsia="en-US"/>
              </w:rPr>
            </w:pPr>
          </w:p>
        </w:tc>
      </w:tr>
      <w:tr w:rsidR="008A4AA8" w:rsidRPr="00DC3A58" w:rsidTr="006A375A">
        <w:tblPrEx>
          <w:tblCellMar>
            <w:left w:w="108" w:type="dxa"/>
            <w:right w:w="108" w:type="dxa"/>
          </w:tblCellMar>
          <w:tblLook w:val="04A0" w:firstRow="1" w:lastRow="0" w:firstColumn="1" w:lastColumn="0" w:noHBand="0" w:noVBand="1"/>
        </w:tblPrEx>
        <w:trPr>
          <w:cantSplit/>
          <w:trHeight w:val="645"/>
        </w:trPr>
        <w:tc>
          <w:tcPr>
            <w:tcW w:w="5249"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8A4AA8" w:rsidRPr="00DC3A58" w:rsidRDefault="008A4AA8" w:rsidP="005B767F">
            <w:pPr>
              <w:spacing w:line="254" w:lineRule="auto"/>
              <w:rPr>
                <w:sz w:val="24"/>
                <w:szCs w:val="24"/>
                <w:lang w:val="en-US" w:eastAsia="en-US"/>
              </w:rPr>
            </w:pPr>
            <w:r w:rsidRPr="00DC3A58">
              <w:rPr>
                <w:sz w:val="24"/>
                <w:szCs w:val="24"/>
                <w:lang w:val="en-US" w:eastAsia="en-US"/>
              </w:rPr>
              <w:t xml:space="preserve">3.2 Date: </w:t>
            </w:r>
            <w:r w:rsidR="005B767F">
              <w:rPr>
                <w:sz w:val="24"/>
                <w:szCs w:val="24"/>
                <w:lang w:val="en-US" w:eastAsia="en-US"/>
              </w:rPr>
              <w:t>14 May</w:t>
            </w:r>
            <w:r w:rsidRPr="00DC3A58">
              <w:rPr>
                <w:sz w:val="24"/>
                <w:szCs w:val="24"/>
                <w:lang w:val="en-US" w:eastAsia="en-US"/>
              </w:rPr>
              <w:t xml:space="preserve"> 2018</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8A4AA8" w:rsidRPr="00DC3A58" w:rsidRDefault="008A4AA8" w:rsidP="006A375A">
            <w:pPr>
              <w:spacing w:line="254" w:lineRule="auto"/>
              <w:jc w:val="center"/>
              <w:rPr>
                <w:sz w:val="24"/>
                <w:szCs w:val="24"/>
                <w:lang w:val="en-US" w:eastAsia="en-US"/>
              </w:rPr>
            </w:pPr>
            <w:r w:rsidRPr="00DC3A58">
              <w:rPr>
                <w:sz w:val="24"/>
                <w:szCs w:val="24"/>
                <w:lang w:val="en-US" w:eastAsia="en-US"/>
              </w:rPr>
              <w:t xml:space="preserve">stamp </w:t>
            </w:r>
          </w:p>
        </w:tc>
        <w:tc>
          <w:tcPr>
            <w:tcW w:w="3123" w:type="dxa"/>
            <w:tcBorders>
              <w:top w:val="nil"/>
              <w:left w:val="nil"/>
              <w:bottom w:val="single" w:sz="4" w:space="0" w:color="auto"/>
              <w:right w:val="single" w:sz="4" w:space="0" w:color="auto"/>
            </w:tcBorders>
            <w:tcMar>
              <w:top w:w="0" w:type="dxa"/>
              <w:left w:w="28" w:type="dxa"/>
              <w:bottom w:w="0" w:type="dxa"/>
              <w:right w:w="28" w:type="dxa"/>
            </w:tcMar>
            <w:vAlign w:val="bottom"/>
          </w:tcPr>
          <w:p w:rsidR="008A4AA8" w:rsidRPr="00DC3A58" w:rsidRDefault="008A4AA8" w:rsidP="006A375A">
            <w:pPr>
              <w:spacing w:line="254" w:lineRule="auto"/>
              <w:rPr>
                <w:sz w:val="24"/>
                <w:szCs w:val="24"/>
                <w:lang w:val="en-US" w:eastAsia="en-US"/>
              </w:rPr>
            </w:pPr>
          </w:p>
        </w:tc>
      </w:tr>
    </w:tbl>
    <w:p w:rsidR="008A4AA8" w:rsidRPr="00DC3A58" w:rsidRDefault="008A4AA8" w:rsidP="008A4AA8">
      <w:pPr>
        <w:rPr>
          <w:sz w:val="24"/>
          <w:szCs w:val="24"/>
          <w:lang w:val="en-US"/>
        </w:rPr>
      </w:pPr>
    </w:p>
    <w:p w:rsidR="008A4AA8" w:rsidRPr="00DC3A58" w:rsidRDefault="008A4AA8" w:rsidP="008A4AA8">
      <w:pPr>
        <w:rPr>
          <w:sz w:val="24"/>
          <w:szCs w:val="24"/>
        </w:rPr>
      </w:pPr>
    </w:p>
    <w:p w:rsidR="008A4AA8" w:rsidRPr="00DC3A58" w:rsidRDefault="008A4AA8" w:rsidP="008A4AA8">
      <w:pPr>
        <w:rPr>
          <w:sz w:val="24"/>
          <w:szCs w:val="24"/>
        </w:rPr>
      </w:pPr>
    </w:p>
    <w:p w:rsidR="008A4AA8" w:rsidRPr="00DC3A58" w:rsidRDefault="008A4AA8" w:rsidP="008A4AA8">
      <w:pPr>
        <w:rPr>
          <w:sz w:val="24"/>
          <w:szCs w:val="24"/>
        </w:rPr>
      </w:pPr>
    </w:p>
    <w:p w:rsidR="0059029B" w:rsidRDefault="0059029B"/>
    <w:sectPr w:rsidR="0059029B" w:rsidSect="00DC3A58">
      <w:footerReference w:type="default" r:id="rId10"/>
      <w:pgSz w:w="11906" w:h="16838"/>
      <w:pgMar w:top="1135" w:right="850" w:bottom="993" w:left="1134" w:header="397" w:footer="39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597408"/>
      <w:docPartObj>
        <w:docPartGallery w:val="Page Numbers (Bottom of Page)"/>
        <w:docPartUnique/>
      </w:docPartObj>
    </w:sdtPr>
    <w:sdtEndPr/>
    <w:sdtContent>
      <w:p w:rsidR="00DC3A58" w:rsidRDefault="005B767F">
        <w:pPr>
          <w:pStyle w:val="a6"/>
          <w:jc w:val="right"/>
        </w:pPr>
        <w:r>
          <w:fldChar w:fldCharType="begin"/>
        </w:r>
        <w:r>
          <w:instrText>PAGE   \* MERGEFORMAT</w:instrText>
        </w:r>
        <w:r>
          <w:fldChar w:fldCharType="separate"/>
        </w:r>
        <w:r>
          <w:rPr>
            <w:noProof/>
          </w:rPr>
          <w:t>1</w:t>
        </w:r>
        <w:r>
          <w:fldChar w:fldCharType="end"/>
        </w:r>
      </w:p>
    </w:sdtContent>
  </w:sdt>
  <w:p w:rsidR="00DC3A58" w:rsidRDefault="005B767F">
    <w:pPr>
      <w:pStyle w:val="a6"/>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A8"/>
    <w:rsid w:val="0059029B"/>
    <w:rsid w:val="005B767F"/>
    <w:rsid w:val="0062058F"/>
    <w:rsid w:val="008A4AA8"/>
    <w:rsid w:val="00D956FD"/>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B65B"/>
  <w15:chartTrackingRefBased/>
  <w15:docId w15:val="{0323CE23-A017-4280-9DED-D607614A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AA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A4AA8"/>
    <w:rPr>
      <w:rFonts w:cs="Times New Roman"/>
      <w:color w:val="0000FF"/>
      <w:u w:val="single"/>
    </w:rPr>
  </w:style>
  <w:style w:type="paragraph" w:styleId="a4">
    <w:name w:val="No Spacing"/>
    <w:uiPriority w:val="1"/>
    <w:qFormat/>
    <w:rsid w:val="008A4AA8"/>
    <w:pPr>
      <w:spacing w:after="0" w:line="240" w:lineRule="auto"/>
    </w:pPr>
  </w:style>
  <w:style w:type="table" w:styleId="a5">
    <w:name w:val="Table Grid"/>
    <w:basedOn w:val="a1"/>
    <w:uiPriority w:val="59"/>
    <w:rsid w:val="008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4AA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footer"/>
    <w:basedOn w:val="a"/>
    <w:link w:val="a7"/>
    <w:uiPriority w:val="99"/>
    <w:unhideWhenUsed/>
    <w:rsid w:val="008A4AA8"/>
    <w:pPr>
      <w:tabs>
        <w:tab w:val="center" w:pos="4677"/>
        <w:tab w:val="right" w:pos="9355"/>
      </w:tabs>
    </w:pPr>
  </w:style>
  <w:style w:type="character" w:customStyle="1" w:styleId="a7">
    <w:name w:val="Нижний колонтитул Знак"/>
    <w:basedOn w:val="a0"/>
    <w:link w:val="a6"/>
    <w:uiPriority w:val="99"/>
    <w:rsid w:val="008A4AA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ubanenergo.ru/" TargetMode="External"/><Relationship Id="rId3" Type="http://schemas.openxmlformats.org/officeDocument/2006/relationships/settings" Target="settings.xml"/><Relationship Id="rId7" Type="http://schemas.openxmlformats.org/officeDocument/2006/relationships/hyperlink" Target="http://www.e-disclosure.ru/portal/company.aspx?id=28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11" Type="http://schemas.openxmlformats.org/officeDocument/2006/relationships/fontTable" Target="fontTable.xml"/><Relationship Id="rId5" Type="http://schemas.openxmlformats.org/officeDocument/2006/relationships/hyperlink" Target="http://www.e-disclosure.ru/portal/event.aspx?EventId=AoYCNfIrdU-CnSmqu-AEbuxw-B-B"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835</Words>
  <Characters>4762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2018-05-15T18:07:00Z</dcterms:created>
  <dcterms:modified xsi:type="dcterms:W3CDTF">2018-05-15T18:42:00Z</dcterms:modified>
</cp:coreProperties>
</file>