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56F" w:rsidRDefault="000F756F" w:rsidP="000F756F">
      <w:pPr>
        <w:pStyle w:val="ConsNonformat"/>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Statement of material fact</w:t>
      </w:r>
    </w:p>
    <w:p w:rsidR="000F756F" w:rsidRDefault="000F756F" w:rsidP="000F756F">
      <w:pPr>
        <w:jc w:val="center"/>
        <w:rPr>
          <w:b/>
          <w:bCs/>
          <w:sz w:val="24"/>
          <w:szCs w:val="24"/>
          <w:lang w:val="en-US"/>
        </w:rPr>
      </w:pPr>
      <w:r>
        <w:rPr>
          <w:b/>
          <w:bCs/>
          <w:sz w:val="24"/>
          <w:szCs w:val="24"/>
          <w:lang w:val="en-US"/>
        </w:rPr>
        <w:t>“On convening a meeting of the issuer’s Board of Directors and its agenda”</w:t>
      </w:r>
    </w:p>
    <w:p w:rsidR="000F756F" w:rsidRDefault="000F756F" w:rsidP="000F756F">
      <w:pPr>
        <w:jc w:val="center"/>
        <w:rPr>
          <w:b/>
          <w:bCs/>
          <w:sz w:val="24"/>
          <w:szCs w:val="24"/>
          <w:lang w:val="en-US"/>
        </w:rPr>
      </w:pPr>
      <w:r>
        <w:rPr>
          <w:b/>
          <w:bCs/>
          <w:sz w:val="24"/>
          <w:szCs w:val="24"/>
          <w:lang w:val="en-US"/>
        </w:rPr>
        <w:t>(disclosure of insider information)</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1421"/>
        <w:gridCol w:w="1976"/>
        <w:gridCol w:w="2669"/>
      </w:tblGrid>
      <w:tr w:rsidR="000F756F" w:rsidTr="000707AD">
        <w:tc>
          <w:tcPr>
            <w:tcW w:w="10206" w:type="dxa"/>
            <w:gridSpan w:val="4"/>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numPr>
                <w:ilvl w:val="0"/>
                <w:numId w:val="1"/>
              </w:numPr>
              <w:spacing w:line="252" w:lineRule="auto"/>
              <w:jc w:val="center"/>
              <w:rPr>
                <w:rFonts w:ascii="Times New Roman" w:hAnsi="Times New Roman"/>
                <w:sz w:val="24"/>
                <w:szCs w:val="24"/>
                <w:lang w:val="en-US"/>
              </w:rPr>
            </w:pPr>
            <w:r>
              <w:rPr>
                <w:rFonts w:ascii="Times New Roman" w:hAnsi="Times New Roman"/>
                <w:sz w:val="24"/>
                <w:szCs w:val="24"/>
                <w:lang w:val="en-US"/>
              </w:rPr>
              <w:t>General information</w:t>
            </w:r>
          </w:p>
        </w:tc>
      </w:tr>
      <w:tr w:rsidR="000F756F" w:rsidRPr="000F756F" w:rsidTr="000707AD">
        <w:trPr>
          <w:trHeight w:val="599"/>
        </w:trPr>
        <w:tc>
          <w:tcPr>
            <w:tcW w:w="4140" w:type="dxa"/>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1.1  Full business name of the issuer </w:t>
            </w:r>
          </w:p>
        </w:tc>
        <w:tc>
          <w:tcPr>
            <w:tcW w:w="6066" w:type="dxa"/>
            <w:gridSpan w:val="3"/>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b/>
                <w:sz w:val="24"/>
                <w:szCs w:val="24"/>
                <w:lang w:val="en-US"/>
              </w:rPr>
            </w:pPr>
            <w:r>
              <w:rPr>
                <w:rFonts w:ascii="Times New Roman" w:hAnsi="Times New Roman"/>
                <w:b/>
                <w:sz w:val="24"/>
                <w:szCs w:val="24"/>
                <w:lang w:val="en-US"/>
              </w:rPr>
              <w:t>Public joint stock company of power industry  and electrification of Kuban</w:t>
            </w:r>
          </w:p>
        </w:tc>
      </w:tr>
      <w:tr w:rsidR="000F756F" w:rsidTr="000707AD">
        <w:tc>
          <w:tcPr>
            <w:tcW w:w="4140" w:type="dxa"/>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sz w:val="24"/>
                <w:szCs w:val="24"/>
                <w:lang w:val="en-US"/>
              </w:rPr>
            </w:pPr>
            <w:r>
              <w:rPr>
                <w:rFonts w:ascii="Times New Roman" w:hAnsi="Times New Roman"/>
                <w:sz w:val="24"/>
                <w:szCs w:val="24"/>
                <w:lang w:val="en-US"/>
              </w:rPr>
              <w:t>1.2. Abbreviated business name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b/>
                <w:sz w:val="24"/>
                <w:szCs w:val="24"/>
              </w:rPr>
            </w:pPr>
            <w:r>
              <w:rPr>
                <w:rFonts w:ascii="Times New Roman" w:hAnsi="Times New Roman"/>
                <w:b/>
                <w:sz w:val="24"/>
                <w:szCs w:val="24"/>
                <w:lang w:val="en-US"/>
              </w:rPr>
              <w:t>“Kubanenergo” PJSC</w:t>
            </w:r>
          </w:p>
        </w:tc>
      </w:tr>
      <w:tr w:rsidR="000F756F" w:rsidTr="000707AD">
        <w:tc>
          <w:tcPr>
            <w:tcW w:w="4140" w:type="dxa"/>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0F756F" w:rsidRDefault="000F756F" w:rsidP="000707AD">
            <w:pPr>
              <w:spacing w:line="252" w:lineRule="auto"/>
              <w:rPr>
                <w:b/>
                <w:sz w:val="24"/>
                <w:szCs w:val="24"/>
                <w:lang w:val="en-US" w:eastAsia="en-US"/>
              </w:rPr>
            </w:pPr>
            <w:r>
              <w:rPr>
                <w:b/>
                <w:sz w:val="24"/>
                <w:szCs w:val="24"/>
                <w:lang w:val="en-US" w:eastAsia="en-US"/>
              </w:rPr>
              <w:t>Krasnodar, Russian Federation</w:t>
            </w:r>
          </w:p>
        </w:tc>
      </w:tr>
      <w:tr w:rsidR="000F756F" w:rsidTr="000707AD">
        <w:tc>
          <w:tcPr>
            <w:tcW w:w="4140" w:type="dxa"/>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sz w:val="24"/>
                <w:szCs w:val="24"/>
                <w:lang w:val="en-US"/>
              </w:rPr>
            </w:pPr>
            <w:r>
              <w:rPr>
                <w:rFonts w:ascii="Times New Roman" w:hAnsi="Times New Roman"/>
                <w:sz w:val="24"/>
                <w:szCs w:val="24"/>
                <w:lang w:val="en-US"/>
              </w:rPr>
              <w:t>1.4. PSRN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b/>
                <w:sz w:val="24"/>
                <w:szCs w:val="24"/>
              </w:rPr>
            </w:pPr>
            <w:r>
              <w:rPr>
                <w:rFonts w:ascii="Times New Roman" w:hAnsi="Times New Roman"/>
                <w:b/>
                <w:sz w:val="24"/>
                <w:szCs w:val="24"/>
              </w:rPr>
              <w:t>1022301427268</w:t>
            </w:r>
          </w:p>
        </w:tc>
      </w:tr>
      <w:tr w:rsidR="000F756F" w:rsidTr="000707AD">
        <w:tc>
          <w:tcPr>
            <w:tcW w:w="4140" w:type="dxa"/>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sz w:val="24"/>
                <w:szCs w:val="24"/>
                <w:lang w:val="en-US"/>
              </w:rPr>
            </w:pPr>
            <w:r>
              <w:rPr>
                <w:rFonts w:ascii="Times New Roman" w:hAnsi="Times New Roman"/>
                <w:sz w:val="24"/>
                <w:szCs w:val="24"/>
                <w:lang w:val="en-US"/>
              </w:rPr>
              <w:t>1.5. TIN of the issuer</w:t>
            </w:r>
          </w:p>
        </w:tc>
        <w:tc>
          <w:tcPr>
            <w:tcW w:w="6066" w:type="dxa"/>
            <w:gridSpan w:val="3"/>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b/>
                <w:sz w:val="24"/>
                <w:szCs w:val="24"/>
              </w:rPr>
            </w:pPr>
            <w:r>
              <w:rPr>
                <w:rFonts w:ascii="Times New Roman" w:hAnsi="Times New Roman"/>
                <w:b/>
                <w:sz w:val="24"/>
                <w:szCs w:val="24"/>
              </w:rPr>
              <w:t>2309001660</w:t>
            </w:r>
          </w:p>
        </w:tc>
      </w:tr>
      <w:tr w:rsidR="000F756F" w:rsidTr="000707AD">
        <w:tc>
          <w:tcPr>
            <w:tcW w:w="4140" w:type="dxa"/>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1.6. The </w:t>
            </w:r>
            <w:r>
              <w:rPr>
                <w:rFonts w:ascii="Times New Roman" w:hAnsi="Times New Roman"/>
                <w:sz w:val="24"/>
                <w:szCs w:val="24"/>
                <w:lang w:val="en-GB"/>
              </w:rPr>
              <w:t>issuer’s unique code assigned by the registering body</w:t>
            </w:r>
          </w:p>
        </w:tc>
        <w:tc>
          <w:tcPr>
            <w:tcW w:w="6066" w:type="dxa"/>
            <w:gridSpan w:val="3"/>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b/>
                <w:sz w:val="24"/>
                <w:szCs w:val="24"/>
                <w:lang w:val="en-US"/>
              </w:rPr>
            </w:pPr>
            <w:r>
              <w:rPr>
                <w:rFonts w:ascii="Times New Roman" w:hAnsi="Times New Roman"/>
                <w:b/>
                <w:sz w:val="24"/>
                <w:szCs w:val="24"/>
              </w:rPr>
              <w:t>00063-</w:t>
            </w:r>
            <w:r>
              <w:rPr>
                <w:rFonts w:ascii="Times New Roman" w:hAnsi="Times New Roman"/>
                <w:b/>
                <w:sz w:val="24"/>
                <w:szCs w:val="24"/>
                <w:lang w:val="en-US"/>
              </w:rPr>
              <w:t>A</w:t>
            </w:r>
          </w:p>
        </w:tc>
      </w:tr>
      <w:tr w:rsidR="000F756F" w:rsidRPr="000F756F" w:rsidTr="000707AD">
        <w:tc>
          <w:tcPr>
            <w:tcW w:w="4140" w:type="dxa"/>
            <w:tcBorders>
              <w:top w:val="single" w:sz="4" w:space="0" w:color="auto"/>
              <w:left w:val="single" w:sz="4" w:space="0" w:color="auto"/>
              <w:bottom w:val="single" w:sz="4" w:space="0" w:color="auto"/>
              <w:right w:val="single" w:sz="4" w:space="0" w:color="auto"/>
            </w:tcBorders>
            <w:hideMark/>
          </w:tcPr>
          <w:p w:rsidR="000F756F" w:rsidRDefault="000F756F" w:rsidP="000707AD">
            <w:pPr>
              <w:pStyle w:val="a4"/>
              <w:spacing w:line="252" w:lineRule="auto"/>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6066" w:type="dxa"/>
            <w:gridSpan w:val="3"/>
            <w:tcBorders>
              <w:top w:val="single" w:sz="4" w:space="0" w:color="auto"/>
              <w:left w:val="single" w:sz="4" w:space="0" w:color="auto"/>
              <w:bottom w:val="single" w:sz="4" w:space="0" w:color="auto"/>
              <w:right w:val="single" w:sz="4" w:space="0" w:color="auto"/>
            </w:tcBorders>
            <w:hideMark/>
          </w:tcPr>
          <w:p w:rsidR="000F756F" w:rsidRPr="007549BD" w:rsidRDefault="000F756F" w:rsidP="000707AD">
            <w:pPr>
              <w:spacing w:line="252" w:lineRule="auto"/>
              <w:rPr>
                <w:rStyle w:val="a3"/>
                <w:color w:val="auto"/>
                <w:lang w:val="en-US" w:eastAsia="en-US"/>
              </w:rPr>
            </w:pPr>
            <w:hyperlink r:id="rId5" w:history="1">
              <w:r>
                <w:rPr>
                  <w:rStyle w:val="a3"/>
                  <w:sz w:val="24"/>
                  <w:szCs w:val="24"/>
                  <w:lang w:val="en-US" w:eastAsia="en-US"/>
                </w:rPr>
                <w:t>www.kubanenergo.ru</w:t>
              </w:r>
            </w:hyperlink>
            <w:r>
              <w:rPr>
                <w:sz w:val="24"/>
                <w:szCs w:val="24"/>
                <w:lang w:val="en-US" w:eastAsia="en-US"/>
              </w:rPr>
              <w:t xml:space="preserve"> </w:t>
            </w:r>
          </w:p>
          <w:p w:rsidR="000F756F" w:rsidRPr="007549BD" w:rsidRDefault="000F756F" w:rsidP="000707AD">
            <w:pPr>
              <w:pStyle w:val="a4"/>
              <w:spacing w:line="252" w:lineRule="auto"/>
              <w:rPr>
                <w:rFonts w:ascii="Times New Roman" w:hAnsi="Times New Roman"/>
                <w:lang w:val="en-US"/>
              </w:rPr>
            </w:pPr>
            <w:hyperlink r:id="rId6" w:history="1">
              <w:r>
                <w:rPr>
                  <w:rStyle w:val="a3"/>
                  <w:rFonts w:ascii="Times New Roman" w:hAnsi="Times New Roman"/>
                  <w:sz w:val="24"/>
                  <w:szCs w:val="24"/>
                  <w:lang w:val="en-US"/>
                </w:rPr>
                <w:t>http://www.e-disclosure.ru/portal/company.aspx?id=2827</w:t>
              </w:r>
            </w:hyperlink>
          </w:p>
        </w:tc>
      </w:tr>
      <w:tr w:rsidR="000F756F" w:rsidTr="000707AD">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F756F" w:rsidRDefault="000F756F" w:rsidP="000707AD">
            <w:pPr>
              <w:spacing w:line="252" w:lineRule="auto"/>
              <w:jc w:val="center"/>
              <w:rPr>
                <w:b/>
                <w:bCs/>
                <w:sz w:val="24"/>
                <w:szCs w:val="24"/>
                <w:lang w:val="en-US" w:eastAsia="en-US"/>
              </w:rPr>
            </w:pPr>
            <w:r>
              <w:rPr>
                <w:sz w:val="24"/>
                <w:szCs w:val="24"/>
                <w:lang w:val="en-US" w:eastAsia="en-US"/>
              </w:rPr>
              <w:t>2. Statement content</w:t>
            </w:r>
          </w:p>
        </w:tc>
      </w:tr>
      <w:tr w:rsidR="000F756F" w:rsidRPr="000F756F" w:rsidTr="000707AD">
        <w:trPr>
          <w:trHeight w:val="695"/>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F756F" w:rsidRDefault="000F756F" w:rsidP="000F756F">
            <w:pPr>
              <w:spacing w:line="252" w:lineRule="auto"/>
              <w:rPr>
                <w:b/>
                <w:sz w:val="24"/>
                <w:szCs w:val="24"/>
                <w:lang w:val="en-US" w:eastAsia="en-US"/>
              </w:rPr>
            </w:pPr>
            <w:r>
              <w:rPr>
                <w:sz w:val="24"/>
                <w:szCs w:val="24"/>
                <w:lang w:val="en-US" w:eastAsia="en-US"/>
              </w:rPr>
              <w:t xml:space="preserve">2.1. Date when the chairperson of the BoD adopted a decision to convene a meeting of the board of directors of the issuer: </w:t>
            </w:r>
            <w:r w:rsidRPr="000F756F">
              <w:rPr>
                <w:b/>
                <w:sz w:val="24"/>
                <w:szCs w:val="24"/>
                <w:lang w:val="en-US" w:eastAsia="en-US"/>
              </w:rPr>
              <w:t xml:space="preserve">18 </w:t>
            </w:r>
            <w:r>
              <w:rPr>
                <w:b/>
                <w:sz w:val="24"/>
                <w:szCs w:val="24"/>
                <w:lang w:val="en-US" w:eastAsia="en-US"/>
              </w:rPr>
              <w:t>April</w:t>
            </w:r>
            <w:r>
              <w:rPr>
                <w:b/>
                <w:sz w:val="24"/>
                <w:szCs w:val="24"/>
                <w:lang w:val="en-US" w:eastAsia="en-US"/>
              </w:rPr>
              <w:t xml:space="preserve"> 2018</w:t>
            </w:r>
          </w:p>
        </w:tc>
      </w:tr>
      <w:tr w:rsidR="000F756F" w:rsidRPr="000F756F" w:rsidTr="000707AD">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F756F" w:rsidRDefault="000F756F" w:rsidP="000F756F">
            <w:pPr>
              <w:spacing w:line="252" w:lineRule="auto"/>
              <w:rPr>
                <w:sz w:val="24"/>
                <w:szCs w:val="24"/>
                <w:lang w:val="en-US" w:eastAsia="en-US"/>
              </w:rPr>
            </w:pPr>
            <w:r>
              <w:rPr>
                <w:sz w:val="24"/>
                <w:szCs w:val="24"/>
                <w:lang w:val="en-US" w:eastAsia="en-US"/>
              </w:rPr>
              <w:t>2.2. Date of holding the meeting of issuer’s BoD:</w:t>
            </w:r>
            <w:r>
              <w:rPr>
                <w:b/>
                <w:sz w:val="24"/>
                <w:szCs w:val="24"/>
                <w:lang w:val="en-US" w:eastAsia="en-US"/>
              </w:rPr>
              <w:t xml:space="preserve"> </w:t>
            </w:r>
            <w:r>
              <w:rPr>
                <w:b/>
                <w:sz w:val="24"/>
                <w:szCs w:val="24"/>
                <w:lang w:val="en-US" w:eastAsia="en-US"/>
              </w:rPr>
              <w:t>19 April</w:t>
            </w:r>
            <w:r>
              <w:rPr>
                <w:b/>
                <w:sz w:val="24"/>
                <w:szCs w:val="24"/>
                <w:lang w:val="en-US" w:eastAsia="en-US"/>
              </w:rPr>
              <w:t xml:space="preserve"> 2018</w:t>
            </w:r>
          </w:p>
        </w:tc>
      </w:tr>
      <w:tr w:rsidR="000F756F" w:rsidRPr="000F756F" w:rsidTr="000707AD">
        <w:trPr>
          <w:trHeight w:val="661"/>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F756F" w:rsidRDefault="000F756F" w:rsidP="000707AD">
            <w:pPr>
              <w:spacing w:line="252" w:lineRule="auto"/>
              <w:rPr>
                <w:sz w:val="24"/>
                <w:szCs w:val="24"/>
                <w:lang w:val="en-US" w:eastAsia="en-US"/>
              </w:rPr>
            </w:pPr>
            <w:r>
              <w:rPr>
                <w:sz w:val="24"/>
                <w:szCs w:val="24"/>
                <w:lang w:val="en-US" w:eastAsia="en-US"/>
              </w:rPr>
              <w:t>2.3. Agenda of the meeting of the issuer’s Board of Directors:</w:t>
            </w:r>
          </w:p>
          <w:p w:rsidR="00122170" w:rsidRPr="005C6495" w:rsidRDefault="00122170" w:rsidP="00122170">
            <w:pPr>
              <w:pStyle w:val="a5"/>
              <w:numPr>
                <w:ilvl w:val="0"/>
                <w:numId w:val="2"/>
              </w:numPr>
              <w:spacing w:line="252" w:lineRule="auto"/>
              <w:jc w:val="both"/>
              <w:rPr>
                <w:color w:val="000000"/>
                <w:sz w:val="24"/>
                <w:szCs w:val="24"/>
                <w:lang w:val="en-US" w:eastAsia="en-US"/>
              </w:rPr>
            </w:pPr>
            <w:r w:rsidRPr="005C6495">
              <w:rPr>
                <w:color w:val="000000"/>
                <w:sz w:val="24"/>
                <w:szCs w:val="24"/>
                <w:lang w:val="en-US" w:eastAsia="en-US"/>
              </w:rPr>
              <w:t xml:space="preserve">On convening </w:t>
            </w:r>
            <w:r>
              <w:rPr>
                <w:color w:val="000000"/>
                <w:sz w:val="24"/>
                <w:szCs w:val="24"/>
                <w:lang w:val="en-US" w:eastAsia="en-US"/>
              </w:rPr>
              <w:t xml:space="preserve">the Annual </w:t>
            </w:r>
            <w:r w:rsidRPr="005C6495">
              <w:rPr>
                <w:color w:val="000000"/>
                <w:sz w:val="24"/>
                <w:szCs w:val="24"/>
                <w:lang w:val="en-US" w:eastAsia="en-US"/>
              </w:rPr>
              <w:t>General Meeting of Shareholders and determining the form of the meeting</w:t>
            </w:r>
            <w:r>
              <w:rPr>
                <w:color w:val="000000"/>
                <w:sz w:val="24"/>
                <w:szCs w:val="24"/>
                <w:lang w:val="en-US" w:eastAsia="en-US"/>
              </w:rPr>
              <w:t>.</w:t>
            </w:r>
          </w:p>
          <w:p w:rsidR="00122170" w:rsidRPr="005C6495" w:rsidRDefault="00122170" w:rsidP="00122170">
            <w:pPr>
              <w:pStyle w:val="a5"/>
              <w:numPr>
                <w:ilvl w:val="0"/>
                <w:numId w:val="2"/>
              </w:numPr>
              <w:spacing w:line="252" w:lineRule="auto"/>
              <w:jc w:val="both"/>
              <w:rPr>
                <w:sz w:val="24"/>
                <w:szCs w:val="24"/>
                <w:lang w:val="en-US"/>
              </w:rPr>
            </w:pPr>
            <w:r w:rsidRPr="005C6495">
              <w:rPr>
                <w:color w:val="000000"/>
                <w:sz w:val="24"/>
                <w:szCs w:val="24"/>
                <w:lang w:val="en-US"/>
              </w:rPr>
              <w:t xml:space="preserve">On </w:t>
            </w:r>
            <w:r w:rsidRPr="005C6495">
              <w:rPr>
                <w:sz w:val="24"/>
                <w:szCs w:val="24"/>
                <w:lang w:val="en-US"/>
              </w:rPr>
              <w:t>setting the date, time and place of the Annual General Meeting of Shareholders, time of the registration of persons participating in the Annual General meeting of shareholders</w:t>
            </w:r>
            <w:r>
              <w:rPr>
                <w:sz w:val="24"/>
                <w:szCs w:val="24"/>
                <w:lang w:val="en-US"/>
              </w:rPr>
              <w:t>.</w:t>
            </w:r>
          </w:p>
          <w:p w:rsidR="00122170" w:rsidRDefault="00122170" w:rsidP="00122170">
            <w:pPr>
              <w:pStyle w:val="a5"/>
              <w:numPr>
                <w:ilvl w:val="0"/>
                <w:numId w:val="2"/>
              </w:numPr>
              <w:spacing w:line="252" w:lineRule="auto"/>
              <w:jc w:val="both"/>
              <w:rPr>
                <w:sz w:val="24"/>
                <w:szCs w:val="24"/>
                <w:lang w:val="en-US"/>
              </w:rPr>
            </w:pPr>
            <w:r w:rsidRPr="005C6495">
              <w:rPr>
                <w:sz w:val="24"/>
                <w:szCs w:val="24"/>
                <w:lang w:val="en-US"/>
              </w:rPr>
              <w:t>On setting the date of making the list of persons entitled to participate in the Annual General Meeting of Shareholders</w:t>
            </w:r>
            <w:r>
              <w:rPr>
                <w:sz w:val="24"/>
                <w:szCs w:val="24"/>
                <w:lang w:val="en-US"/>
              </w:rPr>
              <w:t>.</w:t>
            </w:r>
          </w:p>
          <w:p w:rsidR="00122170" w:rsidRPr="00AC694F" w:rsidRDefault="00122170" w:rsidP="00122170">
            <w:pPr>
              <w:pStyle w:val="a5"/>
              <w:numPr>
                <w:ilvl w:val="0"/>
                <w:numId w:val="2"/>
              </w:numPr>
              <w:spacing w:line="252" w:lineRule="auto"/>
              <w:jc w:val="both"/>
              <w:rPr>
                <w:sz w:val="24"/>
                <w:szCs w:val="24"/>
                <w:lang w:val="en-US"/>
              </w:rPr>
            </w:pPr>
            <w:r w:rsidRPr="005C6495">
              <w:rPr>
                <w:color w:val="000000"/>
                <w:sz w:val="24"/>
                <w:szCs w:val="24"/>
                <w:lang w:val="en-US"/>
              </w:rPr>
              <w:t xml:space="preserve">On determining the type(s) of preferred shares whose owners are entitled to vote on agenda items of Company’s </w:t>
            </w:r>
            <w:r>
              <w:rPr>
                <w:color w:val="000000"/>
                <w:sz w:val="24"/>
                <w:szCs w:val="24"/>
                <w:lang w:val="en-US" w:eastAsia="en-US"/>
              </w:rPr>
              <w:t xml:space="preserve">Annual </w:t>
            </w:r>
            <w:r w:rsidRPr="005C6495">
              <w:rPr>
                <w:color w:val="000000"/>
                <w:sz w:val="24"/>
                <w:szCs w:val="24"/>
                <w:lang w:val="en-US" w:eastAsia="en-US"/>
              </w:rPr>
              <w:t>General Meeting of Shareholders</w:t>
            </w:r>
            <w:r>
              <w:rPr>
                <w:color w:val="000000"/>
                <w:sz w:val="24"/>
                <w:szCs w:val="24"/>
                <w:lang w:val="en-US" w:eastAsia="en-US"/>
              </w:rPr>
              <w:t>.</w:t>
            </w:r>
          </w:p>
          <w:p w:rsidR="00122170" w:rsidRPr="005C6495" w:rsidRDefault="00122170" w:rsidP="00122170">
            <w:pPr>
              <w:pStyle w:val="a5"/>
              <w:numPr>
                <w:ilvl w:val="0"/>
                <w:numId w:val="2"/>
              </w:numPr>
              <w:spacing w:line="252" w:lineRule="auto"/>
              <w:jc w:val="both"/>
              <w:rPr>
                <w:color w:val="000000"/>
                <w:sz w:val="24"/>
                <w:szCs w:val="24"/>
                <w:lang w:val="en-US"/>
              </w:rPr>
            </w:pPr>
            <w:r w:rsidRPr="005C6495">
              <w:rPr>
                <w:color w:val="000000"/>
                <w:sz w:val="24"/>
                <w:szCs w:val="24"/>
                <w:lang w:val="en-US"/>
              </w:rPr>
              <w:t>On selecting agenda items for the annual meeting of Shareholders of the Company</w:t>
            </w:r>
            <w:r>
              <w:rPr>
                <w:color w:val="000000"/>
                <w:sz w:val="24"/>
                <w:szCs w:val="24"/>
                <w:lang w:val="en-US"/>
              </w:rPr>
              <w:t>.</w:t>
            </w:r>
          </w:p>
          <w:p w:rsidR="00122170" w:rsidRPr="00A42F62" w:rsidRDefault="00122170" w:rsidP="00122170">
            <w:pPr>
              <w:pStyle w:val="a5"/>
              <w:numPr>
                <w:ilvl w:val="0"/>
                <w:numId w:val="2"/>
              </w:numPr>
              <w:spacing w:line="252" w:lineRule="auto"/>
              <w:jc w:val="both"/>
              <w:rPr>
                <w:sz w:val="24"/>
                <w:szCs w:val="24"/>
                <w:lang w:val="en-US"/>
              </w:rPr>
            </w:pPr>
            <w:r w:rsidRPr="005C6495">
              <w:rPr>
                <w:color w:val="000000"/>
                <w:sz w:val="24"/>
                <w:szCs w:val="24"/>
                <w:lang w:val="en-US"/>
              </w:rPr>
              <w:t>On determining the</w:t>
            </w:r>
            <w:r>
              <w:rPr>
                <w:color w:val="000000"/>
                <w:sz w:val="24"/>
                <w:szCs w:val="24"/>
                <w:lang w:val="en-US"/>
              </w:rPr>
              <w:t xml:space="preserve"> list of</w:t>
            </w:r>
            <w:r w:rsidRPr="005C6495">
              <w:rPr>
                <w:color w:val="000000"/>
                <w:sz w:val="24"/>
                <w:szCs w:val="24"/>
                <w:lang w:val="en-US"/>
              </w:rPr>
              <w:t xml:space="preserve"> information (materials) provided to </w:t>
            </w:r>
            <w:r>
              <w:rPr>
                <w:color w:val="000000"/>
                <w:sz w:val="24"/>
                <w:szCs w:val="24"/>
                <w:lang w:val="en-US"/>
              </w:rPr>
              <w:t xml:space="preserve">the </w:t>
            </w:r>
            <w:r w:rsidRPr="005C6495">
              <w:rPr>
                <w:color w:val="000000"/>
                <w:sz w:val="24"/>
                <w:szCs w:val="24"/>
                <w:lang w:val="en-US"/>
              </w:rPr>
              <w:t>Company’s shareholders during the preparation of Annual General Meeting of Shareholders of the Company and</w:t>
            </w:r>
            <w:r>
              <w:rPr>
                <w:color w:val="000000"/>
                <w:sz w:val="24"/>
                <w:szCs w:val="24"/>
                <w:lang w:val="en-US"/>
              </w:rPr>
              <w:t xml:space="preserve"> procedure for providing such</w:t>
            </w:r>
            <w:r w:rsidRPr="005C6495">
              <w:rPr>
                <w:color w:val="000000"/>
                <w:sz w:val="24"/>
                <w:szCs w:val="24"/>
                <w:lang w:val="en-US"/>
              </w:rPr>
              <w:t xml:space="preserve"> information </w:t>
            </w:r>
            <w:r>
              <w:rPr>
                <w:color w:val="000000"/>
                <w:sz w:val="24"/>
                <w:szCs w:val="24"/>
                <w:lang w:val="en-US"/>
              </w:rPr>
              <w:t>to the</w:t>
            </w:r>
            <w:r w:rsidRPr="005C6495">
              <w:rPr>
                <w:color w:val="000000"/>
                <w:sz w:val="24"/>
                <w:szCs w:val="24"/>
                <w:lang w:val="en-US"/>
              </w:rPr>
              <w:t xml:space="preserve"> shareholders</w:t>
            </w:r>
            <w:r>
              <w:rPr>
                <w:color w:val="000000"/>
                <w:sz w:val="24"/>
                <w:szCs w:val="24"/>
                <w:lang w:val="en-US"/>
              </w:rPr>
              <w:t>.</w:t>
            </w:r>
          </w:p>
          <w:p w:rsidR="00122170" w:rsidRPr="00A42F62" w:rsidRDefault="00122170" w:rsidP="00122170">
            <w:pPr>
              <w:pStyle w:val="a5"/>
              <w:numPr>
                <w:ilvl w:val="0"/>
                <w:numId w:val="2"/>
              </w:numPr>
              <w:spacing w:line="252" w:lineRule="auto"/>
              <w:jc w:val="both"/>
              <w:rPr>
                <w:sz w:val="24"/>
                <w:szCs w:val="24"/>
                <w:lang w:val="en-US"/>
              </w:rPr>
            </w:pPr>
            <w:r w:rsidRPr="00A42F62">
              <w:rPr>
                <w:sz w:val="24"/>
                <w:szCs w:val="24"/>
                <w:lang w:val="en-US"/>
              </w:rPr>
              <w:t>On the determination of the date of sending ballots to persons entitled to participate in the Annual</w:t>
            </w:r>
            <w:r>
              <w:rPr>
                <w:sz w:val="24"/>
                <w:szCs w:val="24"/>
                <w:lang w:val="en-US"/>
              </w:rPr>
              <w:t xml:space="preserve"> </w:t>
            </w:r>
            <w:r w:rsidRPr="00A42F62">
              <w:rPr>
                <w:sz w:val="24"/>
                <w:szCs w:val="24"/>
                <w:lang w:val="en-US"/>
              </w:rPr>
              <w:t>General Meeting of Shareholders of the Company, addresses, to which the filled-in ballot papers can be sent, and the deadline for the receipt of the completed ballots.</w:t>
            </w:r>
          </w:p>
          <w:p w:rsidR="00122170" w:rsidRDefault="00122170" w:rsidP="00122170">
            <w:pPr>
              <w:pStyle w:val="a5"/>
              <w:numPr>
                <w:ilvl w:val="0"/>
                <w:numId w:val="2"/>
              </w:numPr>
              <w:spacing w:line="252" w:lineRule="auto"/>
              <w:jc w:val="both"/>
              <w:rPr>
                <w:sz w:val="24"/>
                <w:szCs w:val="24"/>
                <w:lang w:val="en-US"/>
              </w:rPr>
            </w:pPr>
            <w:r w:rsidRPr="00A42F62">
              <w:rPr>
                <w:sz w:val="24"/>
                <w:szCs w:val="24"/>
                <w:lang w:val="en-US"/>
              </w:rPr>
              <w:t>On approval of form and content of ballots for voting at the Annual General Meeting of Shareholders of the Company, as well as wording of decisions on items of the agenda of the Annual General Meeting of Shareholders, which shall be sent electronically (in the form of electronic documents) to nominal holders of shares registered in the register of shareholders of the Company</w:t>
            </w:r>
            <w:r>
              <w:rPr>
                <w:sz w:val="24"/>
                <w:szCs w:val="24"/>
                <w:lang w:val="en-US"/>
              </w:rPr>
              <w:t>.</w:t>
            </w:r>
          </w:p>
          <w:p w:rsidR="00122170" w:rsidRDefault="00122170" w:rsidP="00122170">
            <w:pPr>
              <w:pStyle w:val="a5"/>
              <w:numPr>
                <w:ilvl w:val="0"/>
                <w:numId w:val="2"/>
              </w:numPr>
              <w:spacing w:line="252" w:lineRule="auto"/>
              <w:jc w:val="both"/>
              <w:rPr>
                <w:sz w:val="24"/>
                <w:szCs w:val="24"/>
                <w:lang w:val="en-US"/>
              </w:rPr>
            </w:pPr>
            <w:r w:rsidRPr="005C6495">
              <w:rPr>
                <w:color w:val="000000"/>
                <w:sz w:val="24"/>
                <w:szCs w:val="24"/>
                <w:lang w:val="en-US"/>
              </w:rPr>
              <w:t>On d</w:t>
            </w:r>
            <w:r w:rsidRPr="005C6495">
              <w:rPr>
                <w:sz w:val="24"/>
                <w:szCs w:val="24"/>
                <w:lang w:val="en-US"/>
              </w:rPr>
              <w:t>etermining the procedure of informing shareholders on holding the Annual General Meeting of Shareholders of the Company, including approving the form and text of message</w:t>
            </w:r>
            <w:r>
              <w:rPr>
                <w:sz w:val="24"/>
                <w:szCs w:val="24"/>
                <w:lang w:val="en-US"/>
              </w:rPr>
              <w:t>.</w:t>
            </w:r>
          </w:p>
          <w:p w:rsidR="00122170" w:rsidRPr="00A42F62" w:rsidRDefault="00122170" w:rsidP="00122170">
            <w:pPr>
              <w:pStyle w:val="a5"/>
              <w:numPr>
                <w:ilvl w:val="0"/>
                <w:numId w:val="2"/>
              </w:numPr>
              <w:spacing w:line="252" w:lineRule="auto"/>
              <w:jc w:val="both"/>
              <w:rPr>
                <w:sz w:val="24"/>
                <w:szCs w:val="24"/>
                <w:lang w:val="en-US"/>
              </w:rPr>
            </w:pPr>
            <w:r w:rsidRPr="005C6495">
              <w:rPr>
                <w:color w:val="000000"/>
                <w:sz w:val="24"/>
                <w:szCs w:val="24"/>
                <w:lang w:val="en-US"/>
              </w:rPr>
              <w:t xml:space="preserve">On </w:t>
            </w:r>
            <w:r>
              <w:rPr>
                <w:color w:val="000000"/>
                <w:sz w:val="24"/>
                <w:szCs w:val="24"/>
                <w:lang w:val="en-US"/>
              </w:rPr>
              <w:t xml:space="preserve">appointing the </w:t>
            </w:r>
            <w:r w:rsidRPr="005C6495">
              <w:rPr>
                <w:color w:val="000000"/>
                <w:sz w:val="24"/>
                <w:szCs w:val="24"/>
                <w:lang w:val="en-US"/>
              </w:rPr>
              <w:t xml:space="preserve">secretary </w:t>
            </w:r>
            <w:r>
              <w:rPr>
                <w:color w:val="000000"/>
                <w:sz w:val="24"/>
                <w:szCs w:val="24"/>
                <w:lang w:val="en-US"/>
              </w:rPr>
              <w:t xml:space="preserve">of the </w:t>
            </w:r>
            <w:r w:rsidRPr="005C6495">
              <w:rPr>
                <w:color w:val="000000"/>
                <w:sz w:val="24"/>
                <w:szCs w:val="24"/>
                <w:lang w:val="en-US"/>
              </w:rPr>
              <w:t>Annual General Meeting of Shareholders of the Company</w:t>
            </w:r>
            <w:r>
              <w:rPr>
                <w:color w:val="000000"/>
                <w:sz w:val="24"/>
                <w:szCs w:val="24"/>
                <w:lang w:val="en-US"/>
              </w:rPr>
              <w:t>.</w:t>
            </w:r>
          </w:p>
          <w:p w:rsidR="00122170" w:rsidRDefault="00122170" w:rsidP="00122170">
            <w:pPr>
              <w:pStyle w:val="a5"/>
              <w:numPr>
                <w:ilvl w:val="0"/>
                <w:numId w:val="2"/>
              </w:numPr>
              <w:spacing w:line="252" w:lineRule="auto"/>
              <w:jc w:val="both"/>
              <w:rPr>
                <w:sz w:val="24"/>
                <w:szCs w:val="24"/>
                <w:lang w:val="en-US"/>
              </w:rPr>
            </w:pPr>
            <w:r w:rsidRPr="00A42F62">
              <w:rPr>
                <w:sz w:val="24"/>
                <w:szCs w:val="24"/>
                <w:lang w:val="en-US"/>
              </w:rPr>
              <w:t xml:space="preserve">On approval of cost estimates </w:t>
            </w:r>
            <w:r>
              <w:rPr>
                <w:sz w:val="24"/>
                <w:szCs w:val="24"/>
                <w:lang w:val="en-US"/>
              </w:rPr>
              <w:t>for</w:t>
            </w:r>
            <w:r w:rsidRPr="00A42F62">
              <w:rPr>
                <w:sz w:val="24"/>
                <w:szCs w:val="24"/>
                <w:lang w:val="en-US"/>
              </w:rPr>
              <w:t xml:space="preserve"> preparation and holding of the Annual General Meeting</w:t>
            </w:r>
            <w:r>
              <w:rPr>
                <w:sz w:val="24"/>
                <w:szCs w:val="24"/>
                <w:lang w:val="en-US"/>
              </w:rPr>
              <w:t xml:space="preserve"> </w:t>
            </w:r>
            <w:r w:rsidRPr="00A42F62">
              <w:rPr>
                <w:sz w:val="24"/>
                <w:szCs w:val="24"/>
                <w:lang w:val="en-US"/>
              </w:rPr>
              <w:t>of Shareholders of the Company</w:t>
            </w:r>
            <w:r>
              <w:rPr>
                <w:sz w:val="24"/>
                <w:szCs w:val="24"/>
                <w:lang w:val="en-US"/>
              </w:rPr>
              <w:t>.</w:t>
            </w:r>
          </w:p>
          <w:p w:rsidR="00122170" w:rsidRDefault="00122170" w:rsidP="00122170">
            <w:pPr>
              <w:pStyle w:val="a5"/>
              <w:numPr>
                <w:ilvl w:val="0"/>
                <w:numId w:val="2"/>
              </w:numPr>
              <w:spacing w:line="252" w:lineRule="auto"/>
              <w:jc w:val="both"/>
              <w:rPr>
                <w:sz w:val="24"/>
                <w:szCs w:val="24"/>
                <w:lang w:val="en-US"/>
              </w:rPr>
            </w:pPr>
            <w:r w:rsidRPr="00A42F62">
              <w:rPr>
                <w:sz w:val="24"/>
                <w:szCs w:val="24"/>
                <w:lang w:val="en-US"/>
              </w:rPr>
              <w:t>On approval of</w:t>
            </w:r>
            <w:r>
              <w:rPr>
                <w:sz w:val="24"/>
                <w:szCs w:val="24"/>
                <w:lang w:val="en-US"/>
              </w:rPr>
              <w:t xml:space="preserve"> conditions of a contract with the Company’s Registrar.</w:t>
            </w:r>
          </w:p>
          <w:p w:rsidR="00122170" w:rsidRDefault="00122170" w:rsidP="00122170">
            <w:pPr>
              <w:pStyle w:val="a5"/>
              <w:numPr>
                <w:ilvl w:val="0"/>
                <w:numId w:val="2"/>
              </w:numPr>
              <w:spacing w:line="252" w:lineRule="auto"/>
              <w:jc w:val="both"/>
              <w:rPr>
                <w:sz w:val="24"/>
                <w:szCs w:val="24"/>
                <w:lang w:val="en-US"/>
              </w:rPr>
            </w:pPr>
            <w:r w:rsidRPr="00172763">
              <w:rPr>
                <w:sz w:val="24"/>
                <w:szCs w:val="24"/>
                <w:lang w:val="en-US"/>
              </w:rPr>
              <w:t xml:space="preserve">On approval of the report on </w:t>
            </w:r>
            <w:r>
              <w:rPr>
                <w:sz w:val="24"/>
                <w:szCs w:val="24"/>
                <w:lang w:val="en-US"/>
              </w:rPr>
              <w:t>interested-</w:t>
            </w:r>
            <w:r w:rsidRPr="00172763">
              <w:rPr>
                <w:sz w:val="24"/>
                <w:szCs w:val="24"/>
                <w:lang w:val="en-US"/>
              </w:rPr>
              <w:t xml:space="preserve">party transactions, </w:t>
            </w:r>
            <w:r>
              <w:rPr>
                <w:sz w:val="24"/>
                <w:szCs w:val="24"/>
                <w:lang w:val="en-US"/>
              </w:rPr>
              <w:t>concluded</w:t>
            </w:r>
            <w:r w:rsidRPr="00172763">
              <w:rPr>
                <w:sz w:val="24"/>
                <w:szCs w:val="24"/>
                <w:lang w:val="en-US"/>
              </w:rPr>
              <w:t xml:space="preserve"> by the Company in 2017</w:t>
            </w:r>
            <w:r>
              <w:rPr>
                <w:sz w:val="24"/>
                <w:szCs w:val="24"/>
                <w:lang w:val="en-US"/>
              </w:rPr>
              <w:t>.</w:t>
            </w:r>
          </w:p>
          <w:p w:rsidR="00122170" w:rsidRDefault="00122170" w:rsidP="00122170">
            <w:pPr>
              <w:pStyle w:val="a5"/>
              <w:numPr>
                <w:ilvl w:val="0"/>
                <w:numId w:val="2"/>
              </w:numPr>
              <w:spacing w:line="252" w:lineRule="auto"/>
              <w:jc w:val="both"/>
              <w:rPr>
                <w:color w:val="000000"/>
                <w:sz w:val="24"/>
                <w:szCs w:val="24"/>
                <w:lang w:val="en-US"/>
              </w:rPr>
            </w:pPr>
            <w:r w:rsidRPr="00172763">
              <w:rPr>
                <w:sz w:val="24"/>
                <w:szCs w:val="24"/>
                <w:lang w:val="en-US"/>
              </w:rPr>
              <w:t xml:space="preserve"> </w:t>
            </w:r>
            <w:r w:rsidRPr="00172763">
              <w:rPr>
                <w:color w:val="000000"/>
                <w:sz w:val="24"/>
                <w:szCs w:val="24"/>
                <w:lang w:val="en-US"/>
              </w:rPr>
              <w:t>On preliminary approval of the Annual Report 2017.</w:t>
            </w:r>
          </w:p>
          <w:p w:rsidR="00122170" w:rsidRDefault="00122170" w:rsidP="00122170">
            <w:pPr>
              <w:pStyle w:val="a5"/>
              <w:numPr>
                <w:ilvl w:val="0"/>
                <w:numId w:val="2"/>
              </w:numPr>
              <w:spacing w:line="252" w:lineRule="auto"/>
              <w:jc w:val="both"/>
              <w:rPr>
                <w:color w:val="000000"/>
                <w:sz w:val="24"/>
                <w:szCs w:val="24"/>
                <w:lang w:val="en-US"/>
              </w:rPr>
            </w:pPr>
            <w:r>
              <w:rPr>
                <w:color w:val="000000"/>
                <w:sz w:val="24"/>
                <w:szCs w:val="24"/>
                <w:lang w:val="en-US"/>
              </w:rPr>
              <w:t>On consideration of the Company’s Accounting (Financial) Statements 2017.</w:t>
            </w:r>
          </w:p>
          <w:p w:rsidR="00122170" w:rsidRPr="00172763" w:rsidRDefault="00122170" w:rsidP="00122170">
            <w:pPr>
              <w:pStyle w:val="a5"/>
              <w:numPr>
                <w:ilvl w:val="0"/>
                <w:numId w:val="2"/>
              </w:numPr>
              <w:spacing w:line="252" w:lineRule="auto"/>
              <w:jc w:val="both"/>
              <w:rPr>
                <w:color w:val="000000"/>
                <w:sz w:val="24"/>
                <w:szCs w:val="24"/>
                <w:lang w:val="en-US"/>
              </w:rPr>
            </w:pPr>
            <w:r w:rsidRPr="00172763">
              <w:rPr>
                <w:color w:val="000000"/>
                <w:sz w:val="24"/>
                <w:szCs w:val="24"/>
                <w:lang w:val="en-US"/>
              </w:rPr>
              <w:lastRenderedPageBreak/>
              <w:t>On recommendations concerning the distribution of profit (loss) of the Company following the results of 2017.</w:t>
            </w:r>
          </w:p>
          <w:p w:rsidR="00122170" w:rsidRPr="00172763" w:rsidRDefault="00122170" w:rsidP="00122170">
            <w:pPr>
              <w:pStyle w:val="a5"/>
              <w:numPr>
                <w:ilvl w:val="0"/>
                <w:numId w:val="2"/>
              </w:numPr>
              <w:spacing w:line="252" w:lineRule="auto"/>
              <w:jc w:val="both"/>
              <w:rPr>
                <w:color w:val="000000"/>
                <w:sz w:val="24"/>
                <w:szCs w:val="24"/>
                <w:lang w:val="en-US"/>
              </w:rPr>
            </w:pPr>
            <w:r w:rsidRPr="00172763">
              <w:rPr>
                <w:color w:val="000000"/>
                <w:sz w:val="24"/>
                <w:szCs w:val="24"/>
                <w:lang w:val="en-US"/>
              </w:rPr>
              <w:t>On recommendations on the amount of dividends on shares of the Company for 2017 and their</w:t>
            </w:r>
            <w:r>
              <w:rPr>
                <w:color w:val="000000"/>
                <w:sz w:val="24"/>
                <w:szCs w:val="24"/>
                <w:lang w:val="en-US"/>
              </w:rPr>
              <w:t xml:space="preserve"> </w:t>
            </w:r>
            <w:r w:rsidRPr="00172763">
              <w:rPr>
                <w:color w:val="000000"/>
                <w:sz w:val="24"/>
                <w:szCs w:val="24"/>
                <w:lang w:val="en-US"/>
              </w:rPr>
              <w:t>payment procedure and proposals to the Annual General Meeting of Shareholders for determining the record date of a list of persons entitled to receive the dividends.</w:t>
            </w:r>
          </w:p>
          <w:p w:rsidR="00122170" w:rsidRPr="00172763" w:rsidRDefault="00122170" w:rsidP="00122170">
            <w:pPr>
              <w:pStyle w:val="a5"/>
              <w:numPr>
                <w:ilvl w:val="0"/>
                <w:numId w:val="2"/>
              </w:numPr>
              <w:spacing w:line="252" w:lineRule="auto"/>
              <w:jc w:val="both"/>
              <w:rPr>
                <w:color w:val="000000"/>
                <w:sz w:val="24"/>
                <w:szCs w:val="24"/>
                <w:lang w:val="en-US"/>
              </w:rPr>
            </w:pPr>
            <w:r w:rsidRPr="00172763">
              <w:rPr>
                <w:color w:val="000000"/>
                <w:sz w:val="24"/>
                <w:szCs w:val="24"/>
                <w:lang w:val="en-US"/>
              </w:rPr>
              <w:t>On consideration of the candidate for the Auditor of the Company.</w:t>
            </w:r>
          </w:p>
          <w:p w:rsidR="00122170" w:rsidRPr="00172763" w:rsidRDefault="00122170" w:rsidP="00122170">
            <w:pPr>
              <w:pStyle w:val="a5"/>
              <w:numPr>
                <w:ilvl w:val="0"/>
                <w:numId w:val="2"/>
              </w:numPr>
              <w:spacing w:line="252" w:lineRule="auto"/>
              <w:jc w:val="both"/>
              <w:rPr>
                <w:color w:val="000000"/>
                <w:sz w:val="24"/>
                <w:szCs w:val="24"/>
                <w:lang w:val="en-US"/>
              </w:rPr>
            </w:pPr>
            <w:r w:rsidRPr="00172763">
              <w:rPr>
                <w:color w:val="000000"/>
                <w:sz w:val="24"/>
                <w:szCs w:val="24"/>
                <w:lang w:val="en-US"/>
              </w:rPr>
              <w:t>On consideration of a draft Charter of the Company in a new edition.</w:t>
            </w:r>
          </w:p>
          <w:p w:rsidR="00122170" w:rsidRPr="00172763" w:rsidRDefault="00122170" w:rsidP="00122170">
            <w:pPr>
              <w:pStyle w:val="a5"/>
              <w:numPr>
                <w:ilvl w:val="0"/>
                <w:numId w:val="2"/>
              </w:numPr>
              <w:spacing w:line="252" w:lineRule="auto"/>
              <w:jc w:val="both"/>
              <w:rPr>
                <w:color w:val="000000"/>
                <w:sz w:val="24"/>
                <w:szCs w:val="24"/>
                <w:lang w:val="en-US"/>
              </w:rPr>
            </w:pPr>
            <w:r w:rsidRPr="00172763">
              <w:rPr>
                <w:color w:val="000000"/>
                <w:sz w:val="24"/>
                <w:szCs w:val="24"/>
                <w:lang w:val="en-US"/>
              </w:rPr>
              <w:t>On consideration of a draft of the Regulations on the Company's Board of Directors in a new edition.</w:t>
            </w:r>
          </w:p>
          <w:p w:rsidR="00122170" w:rsidRPr="00172763" w:rsidRDefault="00122170" w:rsidP="00122170">
            <w:pPr>
              <w:pStyle w:val="a5"/>
              <w:numPr>
                <w:ilvl w:val="0"/>
                <w:numId w:val="2"/>
              </w:numPr>
              <w:spacing w:line="252" w:lineRule="auto"/>
              <w:jc w:val="both"/>
              <w:rPr>
                <w:color w:val="000000"/>
                <w:sz w:val="24"/>
                <w:szCs w:val="24"/>
                <w:lang w:val="en-US"/>
              </w:rPr>
            </w:pPr>
            <w:r w:rsidRPr="00172763">
              <w:rPr>
                <w:color w:val="000000"/>
                <w:sz w:val="24"/>
                <w:szCs w:val="24"/>
                <w:lang w:val="en-US"/>
              </w:rPr>
              <w:t>On consideration of a draft of the Regulations on the Company's Management Board in a new edition.</w:t>
            </w:r>
          </w:p>
          <w:p w:rsidR="00122170" w:rsidRDefault="00122170" w:rsidP="00122170">
            <w:pPr>
              <w:pStyle w:val="a5"/>
              <w:numPr>
                <w:ilvl w:val="0"/>
                <w:numId w:val="2"/>
              </w:numPr>
              <w:spacing w:line="252" w:lineRule="auto"/>
              <w:jc w:val="both"/>
              <w:rPr>
                <w:color w:val="000000"/>
                <w:sz w:val="24"/>
                <w:szCs w:val="24"/>
                <w:lang w:val="en-US"/>
              </w:rPr>
            </w:pPr>
            <w:r w:rsidRPr="00172763">
              <w:rPr>
                <w:color w:val="000000"/>
                <w:sz w:val="24"/>
                <w:szCs w:val="24"/>
                <w:lang w:val="en-US"/>
              </w:rPr>
              <w:t>On consideration of a draft of the Regulations on the payment of remuneration and compensation to members of the Audit Commission of the Company in a new edition.</w:t>
            </w:r>
          </w:p>
          <w:p w:rsidR="00122170" w:rsidRPr="00172763" w:rsidRDefault="00122170" w:rsidP="00122170">
            <w:pPr>
              <w:pStyle w:val="a5"/>
              <w:numPr>
                <w:ilvl w:val="0"/>
                <w:numId w:val="2"/>
              </w:numPr>
              <w:spacing w:line="252" w:lineRule="auto"/>
              <w:jc w:val="both"/>
              <w:rPr>
                <w:sz w:val="24"/>
                <w:szCs w:val="24"/>
                <w:lang w:val="en-US" w:eastAsia="en-US"/>
              </w:rPr>
            </w:pPr>
            <w:r w:rsidRPr="00172763">
              <w:rPr>
                <w:sz w:val="24"/>
                <w:szCs w:val="24"/>
                <w:lang w:val="en-US" w:eastAsia="en-US"/>
              </w:rPr>
              <w:t>On proposal to the Annual General Meeting of Shareholders concerning the issue: “On participation of Kubanenergo PJSC in the Association “NP Market Council”.</w:t>
            </w:r>
          </w:p>
          <w:p w:rsidR="00122170" w:rsidRDefault="00122170" w:rsidP="00122170">
            <w:pPr>
              <w:spacing w:line="252" w:lineRule="auto"/>
              <w:jc w:val="both"/>
              <w:rPr>
                <w:b/>
                <w:sz w:val="24"/>
                <w:szCs w:val="24"/>
                <w:lang w:val="en-US" w:eastAsia="en-US"/>
              </w:rPr>
            </w:pPr>
          </w:p>
          <w:p w:rsidR="00122170" w:rsidRPr="007E0A00" w:rsidRDefault="00122170" w:rsidP="00122170">
            <w:pPr>
              <w:spacing w:line="252" w:lineRule="auto"/>
              <w:jc w:val="both"/>
              <w:rPr>
                <w:sz w:val="24"/>
                <w:szCs w:val="24"/>
                <w:lang w:val="en-US" w:eastAsia="en-US"/>
              </w:rPr>
            </w:pPr>
            <w:r w:rsidRPr="007E0A00">
              <w:rPr>
                <w:sz w:val="24"/>
                <w:szCs w:val="24"/>
                <w:lang w:val="en-US" w:eastAsia="en-US"/>
              </w:rPr>
              <w:t xml:space="preserve">Type, category (type): </w:t>
            </w:r>
            <w:r w:rsidRPr="00172763">
              <w:rPr>
                <w:b/>
                <w:sz w:val="24"/>
                <w:szCs w:val="24"/>
                <w:lang w:val="en-US" w:eastAsia="en-US"/>
              </w:rPr>
              <w:t>ordinary registered shares</w:t>
            </w:r>
          </w:p>
          <w:p w:rsidR="00122170" w:rsidRDefault="00122170" w:rsidP="00122170">
            <w:pPr>
              <w:spacing w:line="252" w:lineRule="auto"/>
              <w:jc w:val="both"/>
              <w:rPr>
                <w:sz w:val="24"/>
                <w:szCs w:val="24"/>
                <w:lang w:val="en-US" w:eastAsia="en-US"/>
              </w:rPr>
            </w:pPr>
            <w:r w:rsidRPr="007E0A00">
              <w:rPr>
                <w:sz w:val="24"/>
                <w:szCs w:val="24"/>
                <w:lang w:val="en-US" w:eastAsia="en-US"/>
              </w:rPr>
              <w:t>State registration number of the issue (additional issue) of securities and the date of its state registration (identification number of the issue (additional issue) of securities and the date o</w:t>
            </w:r>
            <w:r>
              <w:rPr>
                <w:sz w:val="24"/>
                <w:szCs w:val="24"/>
                <w:lang w:val="en-US" w:eastAsia="en-US"/>
              </w:rPr>
              <w:t xml:space="preserve">f its assignment): </w:t>
            </w:r>
          </w:p>
          <w:p w:rsidR="00122170" w:rsidRPr="007E0A00" w:rsidRDefault="00122170" w:rsidP="00122170">
            <w:pPr>
              <w:spacing w:line="252" w:lineRule="auto"/>
              <w:jc w:val="both"/>
              <w:rPr>
                <w:b/>
                <w:sz w:val="24"/>
                <w:szCs w:val="24"/>
                <w:lang w:val="en-US" w:eastAsia="en-US"/>
              </w:rPr>
            </w:pPr>
            <w:r w:rsidRPr="007E0A00">
              <w:rPr>
                <w:b/>
                <w:sz w:val="24"/>
                <w:szCs w:val="24"/>
                <w:lang w:val="en-US" w:eastAsia="en-US"/>
              </w:rPr>
              <w:t>1-02-00063-A; 08.07.2003</w:t>
            </w:r>
          </w:p>
          <w:p w:rsidR="000F756F" w:rsidRPr="007549BD" w:rsidRDefault="00122170" w:rsidP="00122170">
            <w:pPr>
              <w:spacing w:line="252" w:lineRule="auto"/>
              <w:jc w:val="both"/>
              <w:rPr>
                <w:sz w:val="24"/>
                <w:szCs w:val="24"/>
                <w:lang w:val="en-US" w:eastAsia="en-US"/>
              </w:rPr>
            </w:pPr>
            <w:r w:rsidRPr="007E0A00">
              <w:rPr>
                <w:sz w:val="24"/>
                <w:szCs w:val="24"/>
                <w:lang w:val="en-US" w:eastAsia="en-US"/>
              </w:rPr>
              <w:t xml:space="preserve">International security identification number (ISIN) (if </w:t>
            </w:r>
            <w:r>
              <w:rPr>
                <w:sz w:val="24"/>
                <w:szCs w:val="24"/>
                <w:lang w:val="en-US" w:eastAsia="en-US"/>
              </w:rPr>
              <w:t>any</w:t>
            </w:r>
            <w:r w:rsidRPr="007E0A00">
              <w:rPr>
                <w:sz w:val="24"/>
                <w:szCs w:val="24"/>
                <w:lang w:val="en-US" w:eastAsia="en-US"/>
              </w:rPr>
              <w:t xml:space="preserve">): </w:t>
            </w:r>
            <w:r w:rsidRPr="007E0A00">
              <w:rPr>
                <w:b/>
                <w:sz w:val="24"/>
                <w:szCs w:val="24"/>
                <w:lang w:val="en-US" w:eastAsia="en-US"/>
              </w:rPr>
              <w:t>RU0009046767</w:t>
            </w:r>
          </w:p>
        </w:tc>
      </w:tr>
      <w:tr w:rsidR="000F756F" w:rsidTr="000707AD">
        <w:trPr>
          <w:cantSplit/>
        </w:trPr>
        <w:tc>
          <w:tcPr>
            <w:tcW w:w="10206"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F756F" w:rsidRDefault="000F756F" w:rsidP="000707AD">
            <w:pPr>
              <w:tabs>
                <w:tab w:val="left" w:pos="142"/>
                <w:tab w:val="left" w:pos="9465"/>
              </w:tabs>
              <w:spacing w:line="254" w:lineRule="auto"/>
              <w:ind w:left="142" w:right="189"/>
              <w:jc w:val="center"/>
              <w:rPr>
                <w:sz w:val="24"/>
                <w:lang w:val="en-US" w:eastAsia="en-US"/>
              </w:rPr>
            </w:pPr>
            <w:r>
              <w:rPr>
                <w:sz w:val="24"/>
                <w:lang w:val="en-US" w:eastAsia="en-US"/>
              </w:rPr>
              <w:lastRenderedPageBreak/>
              <w:t xml:space="preserve">3. Signature </w:t>
            </w:r>
          </w:p>
        </w:tc>
      </w:tr>
      <w:tr w:rsidR="000F756F" w:rsidTr="000707AD">
        <w:trPr>
          <w:cantSplit/>
          <w:trHeight w:val="1187"/>
        </w:trPr>
        <w:tc>
          <w:tcPr>
            <w:tcW w:w="556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0F756F" w:rsidRDefault="000F756F" w:rsidP="000707AD">
            <w:pPr>
              <w:pStyle w:val="Default"/>
              <w:spacing w:line="254" w:lineRule="auto"/>
              <w:jc w:val="both"/>
              <w:rPr>
                <w:color w:val="auto"/>
                <w:lang w:val="en-US"/>
              </w:rPr>
            </w:pPr>
            <w:r>
              <w:rPr>
                <w:color w:val="auto"/>
                <w:lang w:val="en-US"/>
              </w:rPr>
              <w:t xml:space="preserve">3.1 Head of Corporate Governance and Shareholder Relations Department (by power of attorney No.119/10-946 </w:t>
            </w:r>
            <w:r>
              <w:rPr>
                <w:lang w:val="en-US"/>
              </w:rPr>
              <w:t>dated 22.02.2018)</w:t>
            </w:r>
          </w:p>
          <w:p w:rsidR="000F756F" w:rsidRDefault="000F756F" w:rsidP="000707AD">
            <w:pPr>
              <w:spacing w:line="254" w:lineRule="auto"/>
              <w:ind w:left="57"/>
              <w:rPr>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0F756F" w:rsidRDefault="000F756F" w:rsidP="000707AD">
            <w:pPr>
              <w:spacing w:line="254" w:lineRule="auto"/>
              <w:jc w:val="center"/>
              <w:rPr>
                <w:lang w:val="en-US" w:eastAsia="en-US"/>
              </w:rPr>
            </w:pPr>
            <w:r>
              <w:rPr>
                <w:lang w:val="en-US" w:eastAsia="en-US"/>
              </w:rPr>
              <w:t>________________</w:t>
            </w:r>
          </w:p>
          <w:p w:rsidR="000F756F" w:rsidRDefault="000F756F" w:rsidP="000707AD">
            <w:pPr>
              <w:spacing w:line="254" w:lineRule="auto"/>
              <w:jc w:val="center"/>
              <w:rPr>
                <w:lang w:val="en-US" w:eastAsia="en-US"/>
              </w:rPr>
            </w:pPr>
            <w:r>
              <w:rPr>
                <w:lang w:val="en-US" w:eastAsia="en-US"/>
              </w:rPr>
              <w:t>(signature)</w:t>
            </w:r>
          </w:p>
        </w:tc>
        <w:tc>
          <w:tcPr>
            <w:tcW w:w="2669" w:type="dxa"/>
            <w:tcBorders>
              <w:top w:val="single" w:sz="4" w:space="0" w:color="auto"/>
              <w:left w:val="nil"/>
              <w:bottom w:val="nil"/>
              <w:right w:val="single" w:sz="4" w:space="0" w:color="auto"/>
            </w:tcBorders>
            <w:tcMar>
              <w:top w:w="0" w:type="dxa"/>
              <w:left w:w="28" w:type="dxa"/>
              <w:bottom w:w="0" w:type="dxa"/>
              <w:right w:w="28" w:type="dxa"/>
            </w:tcMar>
            <w:vAlign w:val="bottom"/>
          </w:tcPr>
          <w:p w:rsidR="000F756F" w:rsidRDefault="000F756F" w:rsidP="000707AD">
            <w:pPr>
              <w:spacing w:line="254" w:lineRule="auto"/>
              <w:rPr>
                <w:sz w:val="24"/>
                <w:lang w:val="en-US" w:eastAsia="en-US"/>
              </w:rPr>
            </w:pPr>
            <w:proofErr w:type="spellStart"/>
            <w:r>
              <w:rPr>
                <w:sz w:val="24"/>
                <w:lang w:val="en-US" w:eastAsia="en-US"/>
              </w:rPr>
              <w:t>Didenko</w:t>
            </w:r>
            <w:proofErr w:type="spellEnd"/>
            <w:r>
              <w:rPr>
                <w:sz w:val="24"/>
                <w:lang w:val="en-US" w:eastAsia="en-US"/>
              </w:rPr>
              <w:t xml:space="preserve"> </w:t>
            </w:r>
            <w:proofErr w:type="spellStart"/>
            <w:r>
              <w:rPr>
                <w:sz w:val="24"/>
                <w:lang w:val="en-US" w:eastAsia="en-US"/>
              </w:rPr>
              <w:t>Ye.Ye</w:t>
            </w:r>
            <w:proofErr w:type="spellEnd"/>
            <w:r>
              <w:rPr>
                <w:sz w:val="24"/>
                <w:lang w:val="en-US" w:eastAsia="en-US"/>
              </w:rPr>
              <w:t>.</w:t>
            </w:r>
          </w:p>
          <w:p w:rsidR="000F756F" w:rsidRDefault="000F756F" w:rsidP="000707AD">
            <w:pPr>
              <w:spacing w:line="254" w:lineRule="auto"/>
              <w:rPr>
                <w:sz w:val="24"/>
                <w:lang w:val="en-US" w:eastAsia="en-US"/>
              </w:rPr>
            </w:pPr>
          </w:p>
          <w:p w:rsidR="000F756F" w:rsidRDefault="000F756F" w:rsidP="000707AD">
            <w:pPr>
              <w:spacing w:line="254" w:lineRule="auto"/>
              <w:rPr>
                <w:sz w:val="24"/>
                <w:lang w:val="en-US" w:eastAsia="en-US"/>
              </w:rPr>
            </w:pPr>
          </w:p>
        </w:tc>
      </w:tr>
      <w:tr w:rsidR="000F756F" w:rsidTr="000707AD">
        <w:trPr>
          <w:cantSplit/>
          <w:trHeight w:val="645"/>
        </w:trPr>
        <w:tc>
          <w:tcPr>
            <w:tcW w:w="556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0F756F" w:rsidRDefault="000F756F" w:rsidP="000F756F">
            <w:pPr>
              <w:spacing w:line="254" w:lineRule="auto"/>
              <w:rPr>
                <w:lang w:val="en-US" w:eastAsia="en-US"/>
              </w:rPr>
            </w:pPr>
            <w:r>
              <w:rPr>
                <w:sz w:val="24"/>
                <w:lang w:val="en-US" w:eastAsia="en-US"/>
              </w:rPr>
              <w:t xml:space="preserve">3.2 Date: </w:t>
            </w:r>
            <w:r>
              <w:rPr>
                <w:sz w:val="24"/>
                <w:lang w:val="en-US" w:eastAsia="en-US"/>
              </w:rPr>
              <w:t>19 April</w:t>
            </w:r>
            <w:r>
              <w:rPr>
                <w:sz w:val="24"/>
                <w:lang w:val="en-US" w:eastAsia="en-US"/>
              </w:rPr>
              <w:t xml:space="preserve"> 2018</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0F756F" w:rsidRDefault="000F756F" w:rsidP="000707AD">
            <w:pPr>
              <w:spacing w:line="254" w:lineRule="auto"/>
              <w:jc w:val="center"/>
              <w:rPr>
                <w:lang w:val="en-US" w:eastAsia="en-US"/>
              </w:rPr>
            </w:pPr>
            <w:r>
              <w:rPr>
                <w:lang w:val="en-US" w:eastAsia="en-US"/>
              </w:rPr>
              <w:t xml:space="preserve">stamp </w:t>
            </w:r>
          </w:p>
        </w:tc>
        <w:tc>
          <w:tcPr>
            <w:tcW w:w="2669" w:type="dxa"/>
            <w:tcBorders>
              <w:top w:val="nil"/>
              <w:left w:val="nil"/>
              <w:bottom w:val="single" w:sz="4" w:space="0" w:color="auto"/>
              <w:right w:val="single" w:sz="4" w:space="0" w:color="auto"/>
            </w:tcBorders>
            <w:tcMar>
              <w:top w:w="0" w:type="dxa"/>
              <w:left w:w="28" w:type="dxa"/>
              <w:bottom w:w="0" w:type="dxa"/>
              <w:right w:w="28" w:type="dxa"/>
            </w:tcMar>
            <w:vAlign w:val="bottom"/>
          </w:tcPr>
          <w:p w:rsidR="000F756F" w:rsidRDefault="000F756F" w:rsidP="000707AD">
            <w:pPr>
              <w:spacing w:line="254" w:lineRule="auto"/>
              <w:rPr>
                <w:lang w:val="en-US" w:eastAsia="en-US"/>
              </w:rPr>
            </w:pPr>
          </w:p>
        </w:tc>
      </w:tr>
    </w:tbl>
    <w:p w:rsidR="000F756F" w:rsidRDefault="000F756F" w:rsidP="000F756F">
      <w:pPr>
        <w:rPr>
          <w:lang w:val="en-US"/>
        </w:rPr>
      </w:pPr>
    </w:p>
    <w:p w:rsidR="000F756F" w:rsidRDefault="000F756F" w:rsidP="000F756F"/>
    <w:p w:rsidR="000F756F" w:rsidRDefault="000F756F" w:rsidP="000F756F"/>
    <w:p w:rsidR="000F756F" w:rsidRDefault="000F756F" w:rsidP="000F756F"/>
    <w:p w:rsidR="000F756F" w:rsidRDefault="000F756F" w:rsidP="000F756F"/>
    <w:p w:rsidR="000F756F" w:rsidRDefault="000F756F" w:rsidP="000F756F"/>
    <w:p w:rsidR="000F756F" w:rsidRDefault="000F756F" w:rsidP="000F756F">
      <w:bookmarkStart w:id="0" w:name="_GoBack"/>
      <w:bookmarkEnd w:id="0"/>
    </w:p>
    <w:p w:rsidR="000F756F" w:rsidRDefault="000F756F" w:rsidP="000F756F"/>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422CD"/>
    <w:multiLevelType w:val="hybridMultilevel"/>
    <w:tmpl w:val="FF2CF4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7D00A76"/>
    <w:multiLevelType w:val="hybridMultilevel"/>
    <w:tmpl w:val="DE5037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56F"/>
    <w:rsid w:val="000F756F"/>
    <w:rsid w:val="00122170"/>
    <w:rsid w:val="0059029B"/>
    <w:rsid w:val="0062058F"/>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3891"/>
  <w15:chartTrackingRefBased/>
  <w15:docId w15:val="{D7CF53E7-4AEB-4AE5-88F0-23B9FD5BA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756F"/>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F756F"/>
    <w:rPr>
      <w:color w:val="0000FF"/>
      <w:u w:val="single"/>
    </w:rPr>
  </w:style>
  <w:style w:type="paragraph" w:styleId="a4">
    <w:name w:val="No Spacing"/>
    <w:uiPriority w:val="1"/>
    <w:qFormat/>
    <w:rsid w:val="000F756F"/>
    <w:pPr>
      <w:spacing w:after="0" w:line="240" w:lineRule="auto"/>
    </w:pPr>
    <w:rPr>
      <w:rFonts w:ascii="Calibri" w:eastAsia="Calibri" w:hAnsi="Calibri" w:cs="Times New Roman"/>
    </w:rPr>
  </w:style>
  <w:style w:type="paragraph" w:customStyle="1" w:styleId="ConsNonformat">
    <w:name w:val="ConsNonformat"/>
    <w:rsid w:val="000F75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0F756F"/>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1221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2018-04-19T12:08:00Z</dcterms:created>
  <dcterms:modified xsi:type="dcterms:W3CDTF">2018-04-19T12:59:00Z</dcterms:modified>
</cp:coreProperties>
</file>