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81" w:rsidRDefault="00FB0D81" w:rsidP="00FB0D81">
      <w:pPr>
        <w:jc w:val="center"/>
        <w:rPr>
          <w:b/>
          <w:bCs/>
          <w:sz w:val="24"/>
          <w:szCs w:val="24"/>
          <w:lang w:val="en-US"/>
        </w:rPr>
      </w:pPr>
      <w:r>
        <w:rPr>
          <w:b/>
          <w:sz w:val="24"/>
          <w:szCs w:val="24"/>
          <w:lang w:val="en-US"/>
        </w:rPr>
        <w:t xml:space="preserve">Statement on recommencement of offering </w:t>
      </w:r>
      <w:r w:rsidR="00B16554">
        <w:rPr>
          <w:b/>
          <w:sz w:val="24"/>
          <w:szCs w:val="24"/>
          <w:lang w:val="en-US"/>
        </w:rPr>
        <w:t xml:space="preserve">of the </w:t>
      </w:r>
      <w:r>
        <w:rPr>
          <w:b/>
          <w:sz w:val="24"/>
          <w:szCs w:val="24"/>
          <w:lang w:val="en-US"/>
        </w:rPr>
        <w:t xml:space="preserve">securities </w:t>
      </w:r>
    </w:p>
    <w:p w:rsidR="00FB0D81" w:rsidRDefault="00FB0D81" w:rsidP="00FB0D81">
      <w:pPr>
        <w:jc w:val="center"/>
        <w:rPr>
          <w:b/>
          <w:bCs/>
          <w:sz w:val="24"/>
          <w:szCs w:val="24"/>
        </w:rPr>
      </w:pPr>
      <w:r>
        <w:rPr>
          <w:b/>
          <w:bCs/>
          <w:sz w:val="24"/>
          <w:szCs w:val="24"/>
        </w:rPr>
        <w:t>(</w:t>
      </w:r>
      <w:r>
        <w:rPr>
          <w:b/>
          <w:sz w:val="24"/>
          <w:szCs w:val="24"/>
          <w:lang w:val="en-US"/>
        </w:rPr>
        <w:t>disclosure of insider information</w:t>
      </w:r>
      <w:r>
        <w:rPr>
          <w:b/>
          <w:bCs/>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5"/>
        <w:gridCol w:w="1247"/>
        <w:gridCol w:w="1984"/>
        <w:gridCol w:w="1872"/>
      </w:tblGrid>
      <w:tr w:rsidR="00FB0D81" w:rsidTr="009E24DD">
        <w:trPr>
          <w:cantSplit/>
        </w:trPr>
        <w:tc>
          <w:tcPr>
            <w:tcW w:w="9498" w:type="dxa"/>
            <w:gridSpan w:val="4"/>
            <w:tcBorders>
              <w:top w:val="single" w:sz="4" w:space="0" w:color="auto"/>
              <w:left w:val="single" w:sz="4" w:space="0" w:color="auto"/>
              <w:bottom w:val="single" w:sz="4" w:space="0" w:color="auto"/>
              <w:right w:val="single" w:sz="4" w:space="0" w:color="auto"/>
            </w:tcBorders>
            <w:hideMark/>
          </w:tcPr>
          <w:p w:rsidR="00FB0D81" w:rsidRDefault="00FB0D81">
            <w:pPr>
              <w:spacing w:line="256" w:lineRule="auto"/>
              <w:jc w:val="center"/>
              <w:rPr>
                <w:sz w:val="24"/>
                <w:szCs w:val="24"/>
                <w:lang w:eastAsia="en-US"/>
              </w:rPr>
            </w:pPr>
            <w:r>
              <w:rPr>
                <w:sz w:val="24"/>
                <w:szCs w:val="24"/>
                <w:lang w:val="en-US" w:eastAsia="en-US"/>
              </w:rPr>
              <w:t>1.General information</w:t>
            </w:r>
          </w:p>
        </w:tc>
      </w:tr>
      <w:tr w:rsidR="00FB0D81" w:rsidRPr="00126C8B"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rsidP="00810E3B">
            <w:pPr>
              <w:pStyle w:val="a6"/>
              <w:numPr>
                <w:ilvl w:val="1"/>
                <w:numId w:val="1"/>
              </w:numPr>
              <w:spacing w:line="256" w:lineRule="auto"/>
              <w:rPr>
                <w:rFonts w:ascii="Times New Roman" w:hAnsi="Times New Roman"/>
                <w:sz w:val="24"/>
                <w:szCs w:val="24"/>
                <w:lang w:val="en-US"/>
              </w:rPr>
            </w:pPr>
            <w:r>
              <w:rPr>
                <w:rFonts w:ascii="Times New Roman" w:hAnsi="Times New Roman"/>
                <w:sz w:val="24"/>
                <w:szCs w:val="24"/>
                <w:lang w:val="en-US"/>
              </w:rPr>
              <w:t xml:space="preserve">Full business name of the issuer (for </w:t>
            </w:r>
            <w:r w:rsidR="00B16554">
              <w:rPr>
                <w:rFonts w:ascii="Times New Roman" w:hAnsi="Times New Roman"/>
                <w:sz w:val="24"/>
                <w:szCs w:val="24"/>
                <w:lang w:val="en-US"/>
              </w:rPr>
              <w:t xml:space="preserve">a </w:t>
            </w:r>
            <w:r>
              <w:rPr>
                <w:rFonts w:ascii="Times New Roman" w:hAnsi="Times New Roman"/>
                <w:sz w:val="24"/>
                <w:szCs w:val="24"/>
                <w:lang w:val="en-US"/>
              </w:rPr>
              <w:t>non-profit company – name)</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b/>
                <w:sz w:val="24"/>
                <w:szCs w:val="24"/>
                <w:lang w:val="en-US"/>
              </w:rPr>
            </w:pPr>
            <w:r>
              <w:rPr>
                <w:rFonts w:ascii="Times New Roman" w:hAnsi="Times New Roman"/>
                <w:b/>
                <w:sz w:val="24"/>
                <w:szCs w:val="24"/>
                <w:lang w:val="en-US"/>
              </w:rPr>
              <w:t>Public</w:t>
            </w:r>
            <w:r>
              <w:rPr>
                <w:rFonts w:ascii="Times New Roman" w:hAnsi="Times New Roman"/>
                <w:b/>
                <w:sz w:val="24"/>
                <w:szCs w:val="24"/>
                <w:lang w:val="en-GB"/>
              </w:rPr>
              <w:t xml:space="preserve"> joint stock company of power industry and electrification of Kuban</w:t>
            </w:r>
          </w:p>
        </w:tc>
      </w:tr>
      <w:tr w:rsidR="00FB0D81"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sz w:val="24"/>
                <w:szCs w:val="24"/>
                <w:lang w:val="en-US"/>
              </w:rPr>
            </w:pPr>
            <w:r>
              <w:rPr>
                <w:rFonts w:ascii="Times New Roman" w:hAnsi="Times New Roman"/>
                <w:sz w:val="24"/>
                <w:szCs w:val="24"/>
                <w:lang w:val="en-US"/>
              </w:rPr>
              <w:t>1.2. Abbreviated name of the issuer</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b/>
                <w:sz w:val="24"/>
                <w:szCs w:val="24"/>
                <w:lang w:val="en-US"/>
              </w:rPr>
            </w:pPr>
            <w:r>
              <w:rPr>
                <w:rFonts w:ascii="Times New Roman" w:hAnsi="Times New Roman"/>
                <w:b/>
                <w:sz w:val="24"/>
                <w:szCs w:val="24"/>
                <w:lang w:val="en-US"/>
              </w:rPr>
              <w:t>Kubanenergo PJSC</w:t>
            </w:r>
          </w:p>
        </w:tc>
      </w:tr>
      <w:tr w:rsidR="00FB0D81"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spacing w:line="256" w:lineRule="auto"/>
              <w:rPr>
                <w:b/>
                <w:sz w:val="24"/>
                <w:szCs w:val="24"/>
                <w:lang w:val="en-US" w:eastAsia="en-US"/>
              </w:rPr>
            </w:pPr>
            <w:r>
              <w:rPr>
                <w:b/>
                <w:sz w:val="24"/>
                <w:szCs w:val="24"/>
                <w:lang w:val="en-US" w:eastAsia="en-US"/>
              </w:rPr>
              <w:t xml:space="preserve">Krasnodar, Russian Federation </w:t>
            </w:r>
          </w:p>
        </w:tc>
      </w:tr>
      <w:tr w:rsidR="00FB0D81"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sz w:val="24"/>
                <w:szCs w:val="24"/>
                <w:lang w:val="en-US"/>
              </w:rPr>
            </w:pPr>
            <w:r>
              <w:rPr>
                <w:rFonts w:ascii="Times New Roman" w:hAnsi="Times New Roman"/>
                <w:sz w:val="24"/>
                <w:szCs w:val="24"/>
                <w:lang w:val="en-US"/>
              </w:rPr>
              <w:t>1.4. PSRN of the issuer</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b/>
                <w:sz w:val="24"/>
                <w:szCs w:val="24"/>
                <w:lang w:val="en-US"/>
              </w:rPr>
            </w:pPr>
            <w:r>
              <w:rPr>
                <w:rFonts w:ascii="Times New Roman" w:hAnsi="Times New Roman"/>
                <w:b/>
                <w:sz w:val="24"/>
                <w:szCs w:val="24"/>
                <w:lang w:val="en-US"/>
              </w:rPr>
              <w:t>1022301427268</w:t>
            </w:r>
          </w:p>
        </w:tc>
      </w:tr>
      <w:tr w:rsidR="00FB0D81"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sz w:val="24"/>
                <w:szCs w:val="24"/>
                <w:lang w:val="en-US"/>
              </w:rPr>
            </w:pPr>
            <w:r>
              <w:rPr>
                <w:rFonts w:ascii="Times New Roman" w:hAnsi="Times New Roman"/>
                <w:sz w:val="24"/>
                <w:szCs w:val="24"/>
                <w:lang w:val="en-US"/>
              </w:rPr>
              <w:t>1.5. TIN of the issuer</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b/>
                <w:sz w:val="24"/>
                <w:szCs w:val="24"/>
                <w:lang w:val="en-US"/>
              </w:rPr>
            </w:pPr>
            <w:r>
              <w:rPr>
                <w:rFonts w:ascii="Times New Roman" w:hAnsi="Times New Roman"/>
                <w:b/>
                <w:sz w:val="24"/>
                <w:szCs w:val="24"/>
                <w:lang w:val="en-US"/>
              </w:rPr>
              <w:t>2309001660</w:t>
            </w:r>
          </w:p>
        </w:tc>
      </w:tr>
      <w:tr w:rsidR="00FB0D81"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B16554">
            <w:pPr>
              <w:pStyle w:val="a6"/>
              <w:spacing w:line="256"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w:t>
            </w:r>
            <w:r w:rsidR="00FB0D81">
              <w:rPr>
                <w:rFonts w:ascii="Times New Roman" w:hAnsi="Times New Roman"/>
                <w:sz w:val="24"/>
                <w:szCs w:val="24"/>
                <w:lang w:val="en-US"/>
              </w:rPr>
              <w:t>’</w:t>
            </w:r>
            <w:r w:rsidR="00FB0D81">
              <w:rPr>
                <w:rFonts w:ascii="Times New Roman" w:hAnsi="Times New Roman"/>
                <w:sz w:val="24"/>
                <w:szCs w:val="24"/>
                <w:lang w:val="en-GB"/>
              </w:rPr>
              <w:t>s unique code assigned by the registering body</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b/>
                <w:sz w:val="24"/>
                <w:szCs w:val="24"/>
              </w:rPr>
            </w:pPr>
            <w:r>
              <w:rPr>
                <w:rFonts w:ascii="Times New Roman" w:hAnsi="Times New Roman"/>
                <w:b/>
                <w:sz w:val="24"/>
                <w:szCs w:val="24"/>
              </w:rPr>
              <w:t>00063-А</w:t>
            </w:r>
          </w:p>
        </w:tc>
      </w:tr>
      <w:tr w:rsidR="00FB0D81" w:rsidRPr="00126C8B" w:rsidTr="00126C8B">
        <w:tc>
          <w:tcPr>
            <w:tcW w:w="4395" w:type="dxa"/>
            <w:tcBorders>
              <w:top w:val="single" w:sz="4" w:space="0" w:color="auto"/>
              <w:left w:val="single" w:sz="4" w:space="0" w:color="auto"/>
              <w:bottom w:val="single" w:sz="4" w:space="0" w:color="auto"/>
              <w:right w:val="single" w:sz="4" w:space="0" w:color="auto"/>
            </w:tcBorders>
            <w:hideMark/>
          </w:tcPr>
          <w:p w:rsidR="00FB0D81" w:rsidRDefault="00FB0D81">
            <w:pPr>
              <w:pStyle w:val="a6"/>
              <w:spacing w:line="256" w:lineRule="auto"/>
              <w:rPr>
                <w:rFonts w:ascii="Times New Roman" w:hAnsi="Times New Roman"/>
                <w:sz w:val="24"/>
                <w:szCs w:val="24"/>
                <w:lang w:val="en-US"/>
              </w:rPr>
            </w:pPr>
            <w:r>
              <w:rPr>
                <w:rFonts w:ascii="Times New Roman" w:hAnsi="Times New Roman"/>
                <w:sz w:val="24"/>
                <w:szCs w:val="24"/>
                <w:lang w:val="en-US"/>
              </w:rPr>
              <w:t xml:space="preserve">1.7. Website used by the issuer for disclosure of information </w:t>
            </w:r>
          </w:p>
        </w:tc>
        <w:tc>
          <w:tcPr>
            <w:tcW w:w="5103" w:type="dxa"/>
            <w:gridSpan w:val="3"/>
            <w:tcBorders>
              <w:top w:val="single" w:sz="4" w:space="0" w:color="auto"/>
              <w:left w:val="single" w:sz="4" w:space="0" w:color="auto"/>
              <w:bottom w:val="single" w:sz="4" w:space="0" w:color="auto"/>
              <w:right w:val="single" w:sz="4" w:space="0" w:color="auto"/>
            </w:tcBorders>
            <w:hideMark/>
          </w:tcPr>
          <w:p w:rsidR="00FB0D81" w:rsidRPr="00126C8B" w:rsidRDefault="00126C8B">
            <w:pPr>
              <w:spacing w:line="256" w:lineRule="auto"/>
              <w:rPr>
                <w:sz w:val="22"/>
                <w:szCs w:val="24"/>
                <w:lang w:val="en-US" w:eastAsia="en-US"/>
              </w:rPr>
            </w:pPr>
            <w:hyperlink r:id="rId6" w:history="1">
              <w:r w:rsidR="00FB0D81" w:rsidRPr="00126C8B">
                <w:rPr>
                  <w:rStyle w:val="a3"/>
                  <w:sz w:val="22"/>
                  <w:szCs w:val="24"/>
                  <w:lang w:val="en-US" w:eastAsia="en-US"/>
                </w:rPr>
                <w:t>http://www.kubanenergo.ru</w:t>
              </w:r>
            </w:hyperlink>
            <w:r w:rsidR="00FB0D81" w:rsidRPr="00126C8B">
              <w:rPr>
                <w:sz w:val="22"/>
                <w:szCs w:val="24"/>
                <w:lang w:val="en-US" w:eastAsia="en-US"/>
              </w:rPr>
              <w:t xml:space="preserve"> </w:t>
            </w:r>
          </w:p>
          <w:p w:rsidR="00FB0D81" w:rsidRPr="00126C8B" w:rsidRDefault="00126C8B">
            <w:pPr>
              <w:pStyle w:val="a6"/>
              <w:spacing w:line="256" w:lineRule="auto"/>
              <w:rPr>
                <w:rFonts w:ascii="Times New Roman" w:hAnsi="Times New Roman"/>
                <w:color w:val="0000FF"/>
                <w:szCs w:val="24"/>
                <w:u w:val="single"/>
                <w:lang w:val="en-US" w:eastAsia="ru-RU"/>
              </w:rPr>
            </w:pPr>
            <w:hyperlink r:id="rId7" w:history="1">
              <w:r w:rsidR="00FB0D81" w:rsidRPr="00126C8B">
                <w:rPr>
                  <w:rStyle w:val="a3"/>
                  <w:sz w:val="20"/>
                  <w:szCs w:val="24"/>
                  <w:lang w:val="en-US" w:eastAsia="ru-RU"/>
                </w:rPr>
                <w:t>http://www.e-disclosure.ru/portal/company.aspx?id=2827</w:t>
              </w:r>
            </w:hyperlink>
          </w:p>
        </w:tc>
      </w:tr>
      <w:tr w:rsidR="00FB0D81" w:rsidTr="009E24DD">
        <w:tc>
          <w:tcPr>
            <w:tcW w:w="9498" w:type="dxa"/>
            <w:gridSpan w:val="4"/>
            <w:tcBorders>
              <w:top w:val="single" w:sz="4" w:space="0" w:color="auto"/>
              <w:left w:val="single" w:sz="4" w:space="0" w:color="auto"/>
              <w:bottom w:val="single" w:sz="4" w:space="0" w:color="auto"/>
              <w:right w:val="single" w:sz="4" w:space="0" w:color="auto"/>
            </w:tcBorders>
            <w:hideMark/>
          </w:tcPr>
          <w:p w:rsidR="00FB0D81" w:rsidRDefault="00FB0D81">
            <w:pPr>
              <w:spacing w:line="256" w:lineRule="auto"/>
              <w:jc w:val="center"/>
              <w:rPr>
                <w:sz w:val="24"/>
                <w:szCs w:val="24"/>
                <w:lang w:eastAsia="en-US"/>
              </w:rPr>
            </w:pPr>
            <w:r>
              <w:rPr>
                <w:sz w:val="24"/>
                <w:szCs w:val="24"/>
                <w:lang w:eastAsia="en-US"/>
              </w:rPr>
              <w:t xml:space="preserve">2. </w:t>
            </w:r>
            <w:r>
              <w:rPr>
                <w:sz w:val="24"/>
                <w:szCs w:val="24"/>
                <w:lang w:val="en-US" w:eastAsia="en-US"/>
              </w:rPr>
              <w:t>Statement content</w:t>
            </w:r>
          </w:p>
        </w:tc>
      </w:tr>
      <w:tr w:rsidR="00FB0D81" w:rsidRPr="00126C8B" w:rsidTr="009E24DD">
        <w:tc>
          <w:tcPr>
            <w:tcW w:w="9498" w:type="dxa"/>
            <w:gridSpan w:val="4"/>
            <w:tcBorders>
              <w:top w:val="single" w:sz="4" w:space="0" w:color="auto"/>
              <w:left w:val="single" w:sz="4" w:space="0" w:color="auto"/>
              <w:bottom w:val="single" w:sz="4" w:space="0" w:color="auto"/>
              <w:right w:val="single" w:sz="4" w:space="0" w:color="auto"/>
            </w:tcBorders>
            <w:hideMark/>
          </w:tcPr>
          <w:p w:rsidR="00FB0D81" w:rsidRDefault="00FB0D81">
            <w:pPr>
              <w:spacing w:line="256" w:lineRule="auto"/>
              <w:ind w:right="114"/>
              <w:jc w:val="both"/>
              <w:rPr>
                <w:sz w:val="24"/>
                <w:szCs w:val="24"/>
                <w:lang w:val="en-US" w:eastAsia="en-US"/>
              </w:rPr>
            </w:pPr>
            <w:r>
              <w:rPr>
                <w:sz w:val="24"/>
                <w:szCs w:val="24"/>
                <w:lang w:val="en-US" w:eastAsia="en-US"/>
              </w:rPr>
              <w:t>2.1. Type, category (kind), series and other identification characteristics of</w:t>
            </w:r>
            <w:r w:rsidR="00B16554">
              <w:rPr>
                <w:sz w:val="24"/>
                <w:szCs w:val="24"/>
                <w:lang w:val="en-US" w:eastAsia="en-US"/>
              </w:rPr>
              <w:t xml:space="preserve"> the</w:t>
            </w:r>
            <w:r>
              <w:rPr>
                <w:sz w:val="24"/>
                <w:szCs w:val="24"/>
                <w:lang w:val="en-US" w:eastAsia="en-US"/>
              </w:rPr>
              <w:t xml:space="preserve"> securities: </w:t>
            </w:r>
            <w:r>
              <w:rPr>
                <w:b/>
                <w:sz w:val="24"/>
                <w:szCs w:val="24"/>
                <w:lang w:val="en-US" w:eastAsia="en-US"/>
              </w:rPr>
              <w:t>Uncertified registered ordinary shares</w:t>
            </w:r>
            <w:r>
              <w:rPr>
                <w:sz w:val="24"/>
                <w:szCs w:val="24"/>
                <w:lang w:val="en-US" w:eastAsia="en-US"/>
              </w:rPr>
              <w:t xml:space="preserve"> </w:t>
            </w:r>
            <w:r>
              <w:rPr>
                <w:b/>
                <w:sz w:val="24"/>
                <w:szCs w:val="24"/>
                <w:lang w:val="en-US" w:eastAsia="en-US"/>
              </w:rPr>
              <w:t>(state registration number of the additional issue of securities and the date of its assigning: 1-02-00063-A, 15.12.2016, International Securities Identification Number (ISIN):RU0009046767</w:t>
            </w:r>
            <w:r>
              <w:rPr>
                <w:rStyle w:val="SUBST"/>
                <w:bCs/>
                <w:i w:val="0"/>
                <w:iCs/>
                <w:sz w:val="24"/>
                <w:szCs w:val="24"/>
                <w:lang w:val="en-US" w:eastAsia="en-US"/>
              </w:rPr>
              <w:t>.</w:t>
            </w:r>
          </w:p>
          <w:p w:rsidR="00FB0D81" w:rsidRDefault="00FB0D81">
            <w:pPr>
              <w:spacing w:line="256" w:lineRule="auto"/>
              <w:ind w:right="113"/>
              <w:jc w:val="both"/>
              <w:rPr>
                <w:b/>
                <w:bCs/>
                <w:iCs/>
                <w:sz w:val="24"/>
                <w:szCs w:val="24"/>
                <w:lang w:val="en-US" w:eastAsia="en-US"/>
              </w:rPr>
            </w:pPr>
            <w:r>
              <w:rPr>
                <w:sz w:val="24"/>
                <w:szCs w:val="24"/>
                <w:lang w:val="en-US" w:eastAsia="en-US"/>
              </w:rPr>
              <w:t xml:space="preserve">2..2. Repayment period (for bonds and options of the issuer): </w:t>
            </w:r>
            <w:r>
              <w:rPr>
                <w:b/>
                <w:sz w:val="24"/>
                <w:szCs w:val="24"/>
                <w:lang w:val="en-US" w:eastAsia="en-US"/>
              </w:rPr>
              <w:t>For this type of securities such information shall not be specified</w:t>
            </w:r>
            <w:r>
              <w:rPr>
                <w:b/>
                <w:bCs/>
                <w:iCs/>
                <w:sz w:val="24"/>
                <w:szCs w:val="24"/>
                <w:lang w:val="en-US" w:eastAsia="en-US"/>
              </w:rPr>
              <w:t>.</w:t>
            </w:r>
          </w:p>
          <w:p w:rsidR="00FB0D81" w:rsidRDefault="00FB0D81">
            <w:pPr>
              <w:spacing w:line="256" w:lineRule="auto"/>
              <w:ind w:right="113"/>
              <w:jc w:val="both"/>
              <w:rPr>
                <w:b/>
                <w:bCs/>
                <w:iCs/>
                <w:sz w:val="24"/>
                <w:szCs w:val="24"/>
                <w:lang w:val="en-US" w:eastAsia="en-US"/>
              </w:rPr>
            </w:pPr>
            <w:r>
              <w:rPr>
                <w:sz w:val="24"/>
                <w:szCs w:val="24"/>
                <w:lang w:val="en-US" w:eastAsia="en-US"/>
              </w:rPr>
              <w:t xml:space="preserve">2.3. State registration number of the issue (additional issue) of securities and the date of its state registration (identification number assigned to the issue (additional issue) of securities and the date of its assignment): </w:t>
            </w:r>
            <w:r>
              <w:rPr>
                <w:b/>
                <w:bCs/>
                <w:iCs/>
                <w:sz w:val="24"/>
                <w:szCs w:val="24"/>
                <w:lang w:val="en-US" w:eastAsia="en-US"/>
              </w:rPr>
              <w:t>1-02-00063-</w:t>
            </w:r>
            <w:r>
              <w:rPr>
                <w:b/>
                <w:bCs/>
                <w:iCs/>
                <w:sz w:val="24"/>
                <w:szCs w:val="24"/>
                <w:lang w:eastAsia="en-US"/>
              </w:rPr>
              <w:t>А</w:t>
            </w:r>
            <w:r>
              <w:rPr>
                <w:b/>
                <w:bCs/>
                <w:iCs/>
                <w:sz w:val="24"/>
                <w:szCs w:val="24"/>
                <w:lang w:val="en-US" w:eastAsia="en-US"/>
              </w:rPr>
              <w:t xml:space="preserve"> from 15.12.2016.</w:t>
            </w:r>
          </w:p>
          <w:p w:rsidR="00FB0D81" w:rsidRDefault="00FB0D81">
            <w:pPr>
              <w:spacing w:line="256" w:lineRule="auto"/>
              <w:ind w:right="113"/>
              <w:jc w:val="both"/>
              <w:rPr>
                <w:b/>
                <w:bCs/>
                <w:iCs/>
                <w:sz w:val="24"/>
                <w:szCs w:val="24"/>
                <w:lang w:val="en-US" w:eastAsia="en-US"/>
              </w:rPr>
            </w:pPr>
            <w:r>
              <w:rPr>
                <w:sz w:val="24"/>
                <w:szCs w:val="24"/>
                <w:lang w:val="en-US" w:eastAsia="en-US"/>
              </w:rPr>
              <w:t xml:space="preserve">2.4. Name of the registering body that conducted the state registration of the issue (additional issue) of securities (name of the body (organization), assigned the identification number to the issue (additional issue) of securities): </w:t>
            </w:r>
            <w:r>
              <w:rPr>
                <w:b/>
                <w:sz w:val="24"/>
                <w:szCs w:val="24"/>
                <w:lang w:val="en-US" w:eastAsia="en-US"/>
              </w:rPr>
              <w:t>Bank of Russia</w:t>
            </w:r>
            <w:r>
              <w:rPr>
                <w:b/>
                <w:bCs/>
                <w:iCs/>
                <w:sz w:val="24"/>
                <w:szCs w:val="24"/>
                <w:lang w:val="en-US" w:eastAsia="en-US"/>
              </w:rPr>
              <w:t>.</w:t>
            </w:r>
          </w:p>
          <w:p w:rsidR="00FB0D81" w:rsidRDefault="00FB0D81">
            <w:pPr>
              <w:widowControl w:val="0"/>
              <w:adjustRightInd w:val="0"/>
              <w:spacing w:line="256" w:lineRule="auto"/>
              <w:ind w:right="113"/>
              <w:jc w:val="both"/>
              <w:rPr>
                <w:b/>
                <w:bCs/>
                <w:iCs/>
                <w:sz w:val="24"/>
                <w:szCs w:val="24"/>
                <w:lang w:val="en-US" w:eastAsia="en-US"/>
              </w:rPr>
            </w:pPr>
            <w:r>
              <w:rPr>
                <w:sz w:val="24"/>
                <w:szCs w:val="24"/>
                <w:lang w:val="en-US" w:eastAsia="en-US"/>
              </w:rPr>
              <w:t xml:space="preserve">2.5. Number of the </w:t>
            </w:r>
            <w:r w:rsidR="00B16554">
              <w:rPr>
                <w:sz w:val="24"/>
                <w:szCs w:val="24"/>
                <w:lang w:val="en-US" w:eastAsia="en-US"/>
              </w:rPr>
              <w:t>offered</w:t>
            </w:r>
            <w:r>
              <w:rPr>
                <w:sz w:val="24"/>
                <w:szCs w:val="24"/>
                <w:lang w:val="en-US" w:eastAsia="en-US"/>
              </w:rPr>
              <w:t xml:space="preserve"> securities and </w:t>
            </w:r>
            <w:r w:rsidR="00B16554">
              <w:rPr>
                <w:sz w:val="24"/>
                <w:szCs w:val="24"/>
                <w:lang w:val="en-US" w:eastAsia="en-US"/>
              </w:rPr>
              <w:t xml:space="preserve">their </w:t>
            </w:r>
            <w:r>
              <w:rPr>
                <w:sz w:val="24"/>
                <w:szCs w:val="24"/>
                <w:lang w:val="en-US" w:eastAsia="en-US"/>
              </w:rPr>
              <w:t xml:space="preserve">nominal value (if nominal value is stipulated by the legislation of the Russian Federation) of each issued security: </w:t>
            </w:r>
            <w:r>
              <w:rPr>
                <w:b/>
                <w:bCs/>
                <w:sz w:val="24"/>
                <w:szCs w:val="24"/>
                <w:lang w:val="en-US" w:eastAsia="en-US"/>
              </w:rPr>
              <w:t>57 457 846 (</w:t>
            </w:r>
            <w:proofErr w:type="gramStart"/>
            <w:r>
              <w:rPr>
                <w:b/>
                <w:bCs/>
                <w:sz w:val="24"/>
                <w:szCs w:val="24"/>
                <w:lang w:val="en-US" w:eastAsia="en-US"/>
              </w:rPr>
              <w:t>fifty seven</w:t>
            </w:r>
            <w:proofErr w:type="gramEnd"/>
            <w:r>
              <w:rPr>
                <w:b/>
                <w:bCs/>
                <w:sz w:val="24"/>
                <w:szCs w:val="24"/>
                <w:lang w:val="en-US" w:eastAsia="en-US"/>
              </w:rPr>
              <w:t xml:space="preserve"> million four hundred fifty seven thousand eight hundred forty six) shares with par value of 100 (one hundred) rubles each.</w:t>
            </w:r>
          </w:p>
          <w:p w:rsidR="00FB0D81" w:rsidRDefault="00FB0D81">
            <w:pPr>
              <w:spacing w:line="256" w:lineRule="auto"/>
              <w:ind w:right="113"/>
              <w:jc w:val="both"/>
              <w:rPr>
                <w:sz w:val="24"/>
                <w:szCs w:val="24"/>
                <w:lang w:val="en-US" w:eastAsia="en-US"/>
              </w:rPr>
            </w:pPr>
            <w:r>
              <w:rPr>
                <w:sz w:val="24"/>
                <w:szCs w:val="24"/>
                <w:lang w:val="en-US" w:eastAsia="en-US"/>
              </w:rPr>
              <w:t xml:space="preserve">2.6. Method of </w:t>
            </w:r>
            <w:r w:rsidR="00B16554">
              <w:rPr>
                <w:sz w:val="24"/>
                <w:szCs w:val="24"/>
                <w:lang w:val="en-US" w:eastAsia="en-US"/>
              </w:rPr>
              <w:t>offering o</w:t>
            </w:r>
            <w:r>
              <w:rPr>
                <w:sz w:val="24"/>
                <w:szCs w:val="24"/>
                <w:lang w:val="en-US" w:eastAsia="en-US"/>
              </w:rPr>
              <w:t xml:space="preserve">f securities, and in case of private offering </w:t>
            </w:r>
            <w:r w:rsidR="00B16554">
              <w:rPr>
                <w:sz w:val="24"/>
                <w:szCs w:val="24"/>
                <w:lang w:val="en-US" w:eastAsia="en-US"/>
              </w:rPr>
              <w:t>the</w:t>
            </w:r>
            <w:r>
              <w:rPr>
                <w:sz w:val="24"/>
                <w:szCs w:val="24"/>
                <w:lang w:val="en-US" w:eastAsia="en-US"/>
              </w:rPr>
              <w:t xml:space="preserve"> circle of potential purchasers of </w:t>
            </w:r>
            <w:r w:rsidR="00B16554">
              <w:rPr>
                <w:sz w:val="24"/>
                <w:szCs w:val="24"/>
                <w:lang w:val="en-US" w:eastAsia="en-US"/>
              </w:rPr>
              <w:t xml:space="preserve">the </w:t>
            </w:r>
            <w:r>
              <w:rPr>
                <w:sz w:val="24"/>
                <w:szCs w:val="24"/>
                <w:lang w:val="en-US" w:eastAsia="en-US"/>
              </w:rPr>
              <w:t>securities</w:t>
            </w:r>
            <w:r w:rsidR="00B16554">
              <w:rPr>
                <w:sz w:val="24"/>
                <w:szCs w:val="24"/>
                <w:lang w:val="en-US" w:eastAsia="en-US"/>
              </w:rPr>
              <w:t xml:space="preserve"> shall be specified</w:t>
            </w:r>
            <w:r>
              <w:rPr>
                <w:sz w:val="24"/>
                <w:szCs w:val="24"/>
                <w:lang w:val="en-US" w:eastAsia="en-US"/>
              </w:rPr>
              <w:t>:</w:t>
            </w:r>
          </w:p>
          <w:p w:rsidR="00FB0D81" w:rsidRDefault="00FB0D81">
            <w:pPr>
              <w:spacing w:line="256" w:lineRule="auto"/>
              <w:ind w:right="113"/>
              <w:jc w:val="both"/>
              <w:rPr>
                <w:b/>
                <w:sz w:val="24"/>
                <w:szCs w:val="24"/>
                <w:lang w:val="en-US" w:eastAsia="en-US"/>
              </w:rPr>
            </w:pPr>
            <w:r>
              <w:rPr>
                <w:sz w:val="24"/>
                <w:szCs w:val="24"/>
                <w:lang w:val="en-US" w:eastAsia="en-US"/>
              </w:rPr>
              <w:t xml:space="preserve">Method of placement: </w:t>
            </w:r>
            <w:r>
              <w:rPr>
                <w:b/>
                <w:sz w:val="24"/>
                <w:szCs w:val="24"/>
                <w:lang w:val="en-US" w:eastAsia="en-US"/>
              </w:rPr>
              <w:t xml:space="preserve">public </w:t>
            </w:r>
            <w:r w:rsidR="00B16554">
              <w:rPr>
                <w:b/>
                <w:sz w:val="24"/>
                <w:szCs w:val="24"/>
                <w:lang w:val="en-US" w:eastAsia="en-US"/>
              </w:rPr>
              <w:t>offering</w:t>
            </w:r>
            <w:r>
              <w:rPr>
                <w:b/>
                <w:sz w:val="24"/>
                <w:szCs w:val="24"/>
                <w:lang w:val="en-US" w:eastAsia="en-US"/>
              </w:rPr>
              <w:t>.</w:t>
            </w:r>
          </w:p>
          <w:p w:rsidR="00FB0D81" w:rsidRDefault="00FB0D81">
            <w:pPr>
              <w:spacing w:line="256" w:lineRule="auto"/>
              <w:ind w:right="113"/>
              <w:jc w:val="both"/>
              <w:rPr>
                <w:b/>
                <w:bCs/>
                <w:iCs/>
                <w:sz w:val="24"/>
                <w:szCs w:val="24"/>
                <w:lang w:val="en-US" w:eastAsia="en-US"/>
              </w:rPr>
            </w:pPr>
            <w:r w:rsidRPr="00FB0D81">
              <w:rPr>
                <w:sz w:val="24"/>
                <w:szCs w:val="24"/>
                <w:lang w:val="en-US" w:eastAsia="en-US"/>
              </w:rPr>
              <w:t xml:space="preserve">2.7.  </w:t>
            </w:r>
            <w:r>
              <w:rPr>
                <w:sz w:val="24"/>
                <w:szCs w:val="24"/>
                <w:lang w:val="en-US" w:eastAsia="en-US"/>
              </w:rPr>
              <w:t xml:space="preserve">Date of commencement of </w:t>
            </w:r>
            <w:r w:rsidR="00B16554">
              <w:rPr>
                <w:sz w:val="24"/>
                <w:szCs w:val="24"/>
                <w:lang w:val="en-US" w:eastAsia="en-US"/>
              </w:rPr>
              <w:t>offering</w:t>
            </w:r>
            <w:r>
              <w:rPr>
                <w:sz w:val="24"/>
                <w:szCs w:val="24"/>
                <w:lang w:val="en-US" w:eastAsia="en-US"/>
              </w:rPr>
              <w:t xml:space="preserve"> of </w:t>
            </w:r>
            <w:r w:rsidR="00B16554">
              <w:rPr>
                <w:sz w:val="24"/>
                <w:szCs w:val="24"/>
                <w:lang w:val="en-US" w:eastAsia="en-US"/>
              </w:rPr>
              <w:t xml:space="preserve">the </w:t>
            </w:r>
            <w:r>
              <w:rPr>
                <w:sz w:val="24"/>
                <w:szCs w:val="24"/>
                <w:lang w:val="en-US" w:eastAsia="en-US"/>
              </w:rPr>
              <w:t>securities:</w:t>
            </w:r>
            <w:r>
              <w:rPr>
                <w:b/>
                <w:sz w:val="24"/>
                <w:szCs w:val="24"/>
                <w:lang w:val="en-US" w:eastAsia="en-US"/>
              </w:rPr>
              <w:t xml:space="preserve"> 20.12.2016.</w:t>
            </w:r>
          </w:p>
          <w:p w:rsidR="00FB0D81" w:rsidRDefault="00FB0D81">
            <w:pPr>
              <w:pStyle w:val="a5"/>
              <w:tabs>
                <w:tab w:val="left" w:pos="8651"/>
              </w:tabs>
              <w:spacing w:line="256" w:lineRule="auto"/>
              <w:ind w:right="113"/>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2.8. End date of the securities </w:t>
            </w:r>
            <w:r w:rsidR="00B16554" w:rsidRPr="00B16554">
              <w:rPr>
                <w:rFonts w:ascii="Times New Roman" w:hAnsi="Times New Roman" w:cs="Times New Roman"/>
                <w:sz w:val="22"/>
                <w:szCs w:val="22"/>
                <w:lang w:val="en-US"/>
              </w:rPr>
              <w:t>offering</w:t>
            </w:r>
            <w:r w:rsidR="00B16554">
              <w:rPr>
                <w:rFonts w:ascii="Times New Roman" w:hAnsi="Times New Roman" w:cs="Times New Roman"/>
                <w:sz w:val="22"/>
                <w:szCs w:val="22"/>
                <w:lang w:val="en-US"/>
              </w:rPr>
              <w:t xml:space="preserve"> </w:t>
            </w:r>
            <w:r>
              <w:rPr>
                <w:rFonts w:ascii="Times New Roman" w:hAnsi="Times New Roman" w:cs="Times New Roman"/>
                <w:sz w:val="24"/>
                <w:szCs w:val="24"/>
                <w:lang w:val="en-US" w:eastAsia="en-US"/>
              </w:rPr>
              <w:t>or procedure of its determination:</w:t>
            </w:r>
          </w:p>
          <w:p w:rsidR="00FB0D81" w:rsidRDefault="00FB0D81">
            <w:pPr>
              <w:spacing w:line="256" w:lineRule="auto"/>
              <w:jc w:val="both"/>
              <w:rPr>
                <w:b/>
                <w:sz w:val="24"/>
                <w:szCs w:val="24"/>
                <w:lang w:val="en-US" w:eastAsia="en-US"/>
              </w:rPr>
            </w:pPr>
            <w:r>
              <w:rPr>
                <w:b/>
                <w:sz w:val="24"/>
                <w:szCs w:val="24"/>
                <w:lang w:val="en-US" w:eastAsia="en-US"/>
              </w:rPr>
              <w:t xml:space="preserve">The end date for </w:t>
            </w:r>
            <w:r w:rsidR="00B16554">
              <w:rPr>
                <w:b/>
                <w:sz w:val="24"/>
                <w:szCs w:val="24"/>
                <w:lang w:val="en-US" w:eastAsia="en-US"/>
              </w:rPr>
              <w:t xml:space="preserve">offering </w:t>
            </w:r>
            <w:r>
              <w:rPr>
                <w:b/>
                <w:sz w:val="24"/>
                <w:szCs w:val="24"/>
                <w:lang w:val="en-US" w:eastAsia="en-US"/>
              </w:rPr>
              <w:t xml:space="preserve">of </w:t>
            </w:r>
            <w:r w:rsidR="00B16554">
              <w:rPr>
                <w:b/>
                <w:sz w:val="24"/>
                <w:szCs w:val="24"/>
                <w:lang w:val="en-US" w:eastAsia="en-US"/>
              </w:rPr>
              <w:t xml:space="preserve">the </w:t>
            </w:r>
            <w:r>
              <w:rPr>
                <w:b/>
                <w:sz w:val="24"/>
                <w:szCs w:val="24"/>
                <w:lang w:val="en-US" w:eastAsia="en-US"/>
              </w:rPr>
              <w:t>securities is the earliest of the following dates:</w:t>
            </w:r>
          </w:p>
          <w:p w:rsidR="00FB0D81" w:rsidRDefault="00FB0D81">
            <w:pPr>
              <w:spacing w:line="256" w:lineRule="auto"/>
              <w:jc w:val="both"/>
              <w:rPr>
                <w:b/>
                <w:sz w:val="24"/>
                <w:szCs w:val="24"/>
                <w:lang w:val="en-US" w:eastAsia="en-US"/>
              </w:rPr>
            </w:pPr>
            <w:r>
              <w:rPr>
                <w:b/>
                <w:sz w:val="24"/>
                <w:szCs w:val="24"/>
                <w:lang w:val="en-US" w:eastAsia="en-US"/>
              </w:rPr>
              <w:t xml:space="preserve">1) the date of </w:t>
            </w:r>
            <w:r w:rsidR="00B16554">
              <w:rPr>
                <w:b/>
                <w:sz w:val="24"/>
                <w:szCs w:val="24"/>
                <w:lang w:val="en-US" w:eastAsia="en-US"/>
              </w:rPr>
              <w:t xml:space="preserve">offering </w:t>
            </w:r>
            <w:r>
              <w:rPr>
                <w:b/>
                <w:sz w:val="24"/>
                <w:szCs w:val="24"/>
                <w:lang w:val="en-US" w:eastAsia="en-US"/>
              </w:rPr>
              <w:t>of the last security of this additional issue,</w:t>
            </w:r>
          </w:p>
          <w:p w:rsidR="00FB0D81" w:rsidRDefault="00FB0D81">
            <w:pPr>
              <w:spacing w:line="256" w:lineRule="auto"/>
              <w:jc w:val="both"/>
              <w:rPr>
                <w:b/>
                <w:sz w:val="24"/>
                <w:szCs w:val="24"/>
                <w:lang w:val="en-US" w:eastAsia="en-US"/>
              </w:rPr>
            </w:pPr>
            <w:r>
              <w:rPr>
                <w:b/>
                <w:sz w:val="24"/>
                <w:szCs w:val="24"/>
                <w:lang w:val="en-US" w:eastAsia="en-US"/>
              </w:rPr>
              <w:t>2</w:t>
            </w:r>
            <w:r w:rsidRPr="00040F13">
              <w:rPr>
                <w:b/>
                <w:sz w:val="24"/>
                <w:szCs w:val="24"/>
                <w:lang w:val="en-US" w:eastAsia="en-US"/>
              </w:rPr>
              <w:t xml:space="preserve">) </w:t>
            </w:r>
            <w:r w:rsidR="00040F13" w:rsidRPr="00040F13">
              <w:rPr>
                <w:b/>
                <w:bCs/>
                <w:iCs/>
                <w:sz w:val="24"/>
                <w:szCs w:val="24"/>
                <w:lang w:val="en-US"/>
              </w:rPr>
              <w:t>468</w:t>
            </w:r>
            <w:r w:rsidR="00040F13" w:rsidRPr="00040F13">
              <w:rPr>
                <w:b/>
                <w:bCs/>
                <w:iCs/>
                <w:sz w:val="24"/>
                <w:szCs w:val="24"/>
                <w:vertAlign w:val="superscript"/>
                <w:lang w:val="en-US"/>
              </w:rPr>
              <w:t>th</w:t>
            </w:r>
            <w:r w:rsidR="00040F13" w:rsidRPr="00040F13">
              <w:rPr>
                <w:b/>
                <w:bCs/>
                <w:iCs/>
                <w:sz w:val="24"/>
                <w:szCs w:val="24"/>
                <w:lang w:val="en-US"/>
              </w:rPr>
              <w:t xml:space="preserve"> (four hundred sixty eighth) day from the date of state registration of th</w:t>
            </w:r>
            <w:r w:rsidR="009E24DD">
              <w:rPr>
                <w:b/>
                <w:bCs/>
                <w:iCs/>
                <w:sz w:val="24"/>
                <w:szCs w:val="24"/>
                <w:lang w:val="en-US"/>
              </w:rPr>
              <w:t>e additional securities issue (</w:t>
            </w:r>
            <w:r w:rsidR="00040F13" w:rsidRPr="00040F13">
              <w:rPr>
                <w:b/>
                <w:bCs/>
                <w:iCs/>
                <w:sz w:val="24"/>
                <w:szCs w:val="24"/>
                <w:lang w:val="en-US"/>
              </w:rPr>
              <w:t xml:space="preserve">“The </w:t>
            </w:r>
            <w:r w:rsidR="00040F13">
              <w:rPr>
                <w:b/>
                <w:bCs/>
                <w:iCs/>
                <w:sz w:val="24"/>
                <w:szCs w:val="24"/>
                <w:lang w:val="en-US"/>
              </w:rPr>
              <w:t xml:space="preserve">shares offering </w:t>
            </w:r>
            <w:r w:rsidR="00040F13" w:rsidRPr="00040F13">
              <w:rPr>
                <w:b/>
                <w:bCs/>
                <w:iCs/>
                <w:sz w:val="24"/>
                <w:szCs w:val="24"/>
                <w:lang w:val="en-US"/>
              </w:rPr>
              <w:t>deadline”)</w:t>
            </w:r>
            <w:r w:rsidRPr="00040F13">
              <w:rPr>
                <w:b/>
                <w:sz w:val="24"/>
                <w:szCs w:val="24"/>
                <w:lang w:val="en-US" w:eastAsia="en-US"/>
              </w:rPr>
              <w:t>.</w:t>
            </w:r>
          </w:p>
          <w:p w:rsidR="00FB0D81" w:rsidRDefault="00FB0D81">
            <w:pPr>
              <w:spacing w:line="256" w:lineRule="auto"/>
              <w:ind w:right="113"/>
              <w:jc w:val="both"/>
              <w:rPr>
                <w:b/>
                <w:bCs/>
                <w:iCs/>
                <w:sz w:val="24"/>
                <w:szCs w:val="24"/>
                <w:lang w:val="en-US" w:eastAsia="en-US"/>
              </w:rPr>
            </w:pPr>
            <w:r>
              <w:rPr>
                <w:sz w:val="24"/>
                <w:szCs w:val="24"/>
                <w:lang w:val="en-US" w:eastAsia="en-US"/>
              </w:rPr>
              <w:t xml:space="preserve">2.9. Offering price or procedure for its determining: </w:t>
            </w:r>
            <w:r w:rsidR="00040F13">
              <w:rPr>
                <w:b/>
                <w:bCs/>
                <w:iCs/>
                <w:sz w:val="24"/>
                <w:szCs w:val="24"/>
                <w:lang w:val="en-US" w:eastAsia="en-US"/>
              </w:rPr>
              <w:t>The o</w:t>
            </w:r>
            <w:r>
              <w:rPr>
                <w:b/>
                <w:bCs/>
                <w:iCs/>
                <w:sz w:val="24"/>
                <w:szCs w:val="24"/>
                <w:lang w:val="en-US" w:eastAsia="en-US"/>
              </w:rPr>
              <w:t>ffering price (including with respect to the persons included on the list of the persons having the preemptive right to acquire placed additional shares) of one additional share: 100 (one hundred) rubles.</w:t>
            </w:r>
          </w:p>
          <w:p w:rsidR="00FB0D81" w:rsidRDefault="00FB0D81">
            <w:pPr>
              <w:widowControl w:val="0"/>
              <w:adjustRightInd w:val="0"/>
              <w:spacing w:line="256" w:lineRule="auto"/>
              <w:jc w:val="both"/>
              <w:rPr>
                <w:b/>
                <w:bCs/>
                <w:iCs/>
                <w:sz w:val="24"/>
                <w:szCs w:val="24"/>
                <w:lang w:val="en-US" w:eastAsia="en-US"/>
              </w:rPr>
            </w:pPr>
            <w:r w:rsidRPr="00FB0D81">
              <w:rPr>
                <w:bCs/>
                <w:iCs/>
                <w:sz w:val="24"/>
                <w:szCs w:val="24"/>
                <w:lang w:val="en-US" w:eastAsia="en-US"/>
              </w:rPr>
              <w:t xml:space="preserve">2.10. </w:t>
            </w:r>
            <w:r>
              <w:rPr>
                <w:sz w:val="24"/>
                <w:szCs w:val="24"/>
                <w:lang w:val="en-US" w:eastAsia="en-US"/>
              </w:rPr>
              <w:t>Form of payment for the securities</w:t>
            </w:r>
            <w:r>
              <w:rPr>
                <w:bCs/>
                <w:iCs/>
                <w:sz w:val="24"/>
                <w:szCs w:val="24"/>
                <w:lang w:val="en-US" w:eastAsia="en-US"/>
              </w:rPr>
              <w:t xml:space="preserve">: </w:t>
            </w:r>
            <w:r>
              <w:rPr>
                <w:b/>
                <w:bCs/>
                <w:iCs/>
                <w:sz w:val="24"/>
                <w:szCs w:val="24"/>
                <w:lang w:val="en-US" w:eastAsia="en-US"/>
              </w:rPr>
              <w:t>Payment for the additional shares shall be made in money in rubles of the Russian Federation in non-cash form by transfer to the issuer’s account.</w:t>
            </w:r>
          </w:p>
          <w:p w:rsidR="00FB0D81" w:rsidRDefault="00FB0D81">
            <w:pPr>
              <w:spacing w:line="256" w:lineRule="auto"/>
              <w:ind w:right="113"/>
              <w:jc w:val="both"/>
              <w:rPr>
                <w:b/>
                <w:sz w:val="24"/>
                <w:szCs w:val="24"/>
                <w:lang w:val="en-US" w:eastAsia="en-US"/>
              </w:rPr>
            </w:pPr>
            <w:r w:rsidRPr="00FB0D81">
              <w:rPr>
                <w:sz w:val="24"/>
                <w:szCs w:val="24"/>
                <w:lang w:val="en-US" w:eastAsia="en-US"/>
              </w:rPr>
              <w:t xml:space="preserve">2.11. </w:t>
            </w:r>
            <w:r>
              <w:rPr>
                <w:sz w:val="24"/>
                <w:szCs w:val="24"/>
                <w:lang w:val="en-US" w:eastAsia="en-US"/>
              </w:rPr>
              <w:t xml:space="preserve">Date from which the </w:t>
            </w:r>
            <w:r w:rsidR="00040F13">
              <w:rPr>
                <w:sz w:val="24"/>
                <w:szCs w:val="24"/>
                <w:lang w:val="en-US" w:eastAsia="en-US"/>
              </w:rPr>
              <w:t>offering</w:t>
            </w:r>
            <w:r>
              <w:rPr>
                <w:sz w:val="24"/>
                <w:szCs w:val="24"/>
                <w:lang w:val="en-US" w:eastAsia="en-US"/>
              </w:rPr>
              <w:t xml:space="preserve"> of securities </w:t>
            </w:r>
            <w:r w:rsidR="00040F13">
              <w:rPr>
                <w:sz w:val="24"/>
                <w:szCs w:val="24"/>
                <w:lang w:val="en-US" w:eastAsia="en-US"/>
              </w:rPr>
              <w:t>wa</w:t>
            </w:r>
            <w:r>
              <w:rPr>
                <w:sz w:val="24"/>
                <w:szCs w:val="24"/>
                <w:lang w:val="en-US" w:eastAsia="en-US"/>
              </w:rPr>
              <w:t>s suspended:</w:t>
            </w:r>
            <w:r>
              <w:rPr>
                <w:b/>
                <w:sz w:val="24"/>
                <w:szCs w:val="24"/>
                <w:lang w:val="en-US" w:eastAsia="en-US"/>
              </w:rPr>
              <w:t xml:space="preserve"> 13.11.2017.</w:t>
            </w:r>
          </w:p>
          <w:p w:rsidR="005846BC" w:rsidRPr="005846BC" w:rsidRDefault="00FB0D81" w:rsidP="005846BC">
            <w:pPr>
              <w:spacing w:line="256" w:lineRule="auto"/>
              <w:ind w:right="113"/>
              <w:jc w:val="both"/>
              <w:rPr>
                <w:sz w:val="24"/>
                <w:szCs w:val="24"/>
                <w:lang w:val="en-US" w:eastAsia="en-US"/>
              </w:rPr>
            </w:pPr>
            <w:r w:rsidRPr="00FB0D81">
              <w:rPr>
                <w:sz w:val="24"/>
                <w:szCs w:val="24"/>
                <w:lang w:val="en-US" w:eastAsia="en-US"/>
              </w:rPr>
              <w:t>2</w:t>
            </w:r>
            <w:r w:rsidRPr="005846BC">
              <w:rPr>
                <w:sz w:val="24"/>
                <w:szCs w:val="24"/>
                <w:lang w:val="en-US" w:eastAsia="en-US"/>
              </w:rPr>
              <w:t xml:space="preserve">.12. Grounds for suspension of </w:t>
            </w:r>
            <w:r w:rsidR="00040F13" w:rsidRPr="005846BC">
              <w:rPr>
                <w:sz w:val="24"/>
                <w:szCs w:val="24"/>
                <w:lang w:val="en-US" w:eastAsia="en-US"/>
              </w:rPr>
              <w:t>the offering</w:t>
            </w:r>
            <w:r w:rsidRPr="005846BC">
              <w:rPr>
                <w:sz w:val="24"/>
                <w:szCs w:val="24"/>
                <w:lang w:val="en-US" w:eastAsia="en-US"/>
              </w:rPr>
              <w:t xml:space="preserve">: </w:t>
            </w:r>
            <w:r w:rsidRPr="005846BC">
              <w:rPr>
                <w:b/>
                <w:sz w:val="24"/>
                <w:szCs w:val="24"/>
                <w:lang w:val="en-US" w:eastAsia="en-US"/>
              </w:rPr>
              <w:t>the issuer decided to amend the decision on the additional issue of securities and securities prospectus.</w:t>
            </w:r>
            <w:r w:rsidRPr="005846BC">
              <w:rPr>
                <w:sz w:val="24"/>
                <w:szCs w:val="24"/>
                <w:lang w:val="en-US" w:eastAsia="en-US"/>
              </w:rPr>
              <w:t xml:space="preserve"> </w:t>
            </w:r>
          </w:p>
          <w:p w:rsidR="005846BC" w:rsidRPr="005846BC" w:rsidRDefault="00FB0D81" w:rsidP="005846BC">
            <w:pPr>
              <w:spacing w:line="256" w:lineRule="auto"/>
              <w:ind w:right="113"/>
              <w:jc w:val="both"/>
              <w:rPr>
                <w:b/>
                <w:sz w:val="24"/>
                <w:szCs w:val="24"/>
                <w:lang w:val="en-US" w:eastAsia="en-US"/>
              </w:rPr>
            </w:pPr>
            <w:r w:rsidRPr="005846BC">
              <w:rPr>
                <w:color w:val="000000"/>
                <w:sz w:val="24"/>
                <w:szCs w:val="24"/>
                <w:shd w:val="clear" w:color="auto" w:fill="FFFFFF"/>
                <w:lang w:val="en-US" w:eastAsia="en-US"/>
              </w:rPr>
              <w:lastRenderedPageBreak/>
              <w:t xml:space="preserve">2.13. </w:t>
            </w:r>
            <w:r w:rsidR="005846BC" w:rsidRPr="005846BC">
              <w:rPr>
                <w:sz w:val="24"/>
                <w:szCs w:val="24"/>
                <w:lang w:val="en-US" w:eastAsia="en-US"/>
              </w:rPr>
              <w:t xml:space="preserve">Grounds for recommencement of offering securities: </w:t>
            </w:r>
            <w:r w:rsidR="005846BC" w:rsidRPr="005846BC">
              <w:rPr>
                <w:b/>
                <w:sz w:val="24"/>
                <w:szCs w:val="24"/>
                <w:lang w:val="en-US" w:eastAsia="en-US"/>
              </w:rPr>
              <w:t>Bank of Russia has registered changes to the Decision on additional issue of shares and the Securities Prospectus.</w:t>
            </w:r>
          </w:p>
          <w:p w:rsidR="005846BC" w:rsidRPr="005846BC" w:rsidRDefault="005846BC" w:rsidP="005846BC">
            <w:pPr>
              <w:spacing w:line="256" w:lineRule="auto"/>
              <w:ind w:right="113"/>
              <w:jc w:val="both"/>
              <w:rPr>
                <w:b/>
                <w:sz w:val="24"/>
                <w:szCs w:val="24"/>
                <w:lang w:val="en-US" w:eastAsia="en-US"/>
              </w:rPr>
            </w:pPr>
            <w:r w:rsidRPr="005846BC">
              <w:rPr>
                <w:sz w:val="24"/>
                <w:szCs w:val="24"/>
                <w:lang w:val="en-US" w:eastAsia="en-US"/>
              </w:rPr>
              <w:t xml:space="preserve">2.14. Date of registration (approval at the stock exchange) of changes in the decision on the issue (additional issue) of securities (bonds programme, in terms of the issue (additional issue) of bonds within the bond programme) and (or) the securities prospectus or the decision to refuse in registration (stock exchange refused to approve) of these changes or the date of receipt of a written notice (decision) of the authorized body on permission to resume the offering of securities (termination of grounds for suspension of offering securities): </w:t>
            </w:r>
            <w:r w:rsidRPr="005846BC">
              <w:rPr>
                <w:b/>
                <w:sz w:val="24"/>
                <w:szCs w:val="24"/>
                <w:lang w:val="en-US" w:eastAsia="en-US"/>
              </w:rPr>
              <w:t>date of registration of changes in the Decision on the additional issue of securities and in the securities prospectus: 14.12.2017.</w:t>
            </w:r>
          </w:p>
          <w:p w:rsidR="005846BC" w:rsidRDefault="005846BC">
            <w:pPr>
              <w:spacing w:line="256" w:lineRule="auto"/>
              <w:jc w:val="both"/>
              <w:rPr>
                <w:b/>
                <w:sz w:val="24"/>
                <w:szCs w:val="24"/>
                <w:lang w:val="en-US" w:eastAsia="en-US"/>
              </w:rPr>
            </w:pPr>
            <w:r w:rsidRPr="005846BC">
              <w:rPr>
                <w:color w:val="000000"/>
                <w:sz w:val="24"/>
                <w:szCs w:val="24"/>
                <w:shd w:val="clear" w:color="auto" w:fill="FFFFFF"/>
                <w:lang w:val="en-US" w:eastAsia="en-US"/>
              </w:rPr>
              <w:t xml:space="preserve">2.15. </w:t>
            </w:r>
            <w:r w:rsidRPr="005846BC">
              <w:rPr>
                <w:sz w:val="24"/>
                <w:szCs w:val="24"/>
                <w:lang w:val="en-US" w:eastAsia="en-US"/>
              </w:rPr>
              <w:t xml:space="preserve">The date on which the offering of securities is resumed, or its determination procedure: </w:t>
            </w:r>
            <w:r w:rsidRPr="005846BC">
              <w:rPr>
                <w:b/>
                <w:sz w:val="24"/>
                <w:szCs w:val="24"/>
                <w:lang w:val="en-US" w:eastAsia="en-US"/>
              </w:rPr>
              <w:t>offering of securities is resumed by the issuer from the date of disclosure of information on recommencement of offering of securities: 15.12.2017</w:t>
            </w:r>
            <w:r>
              <w:rPr>
                <w:b/>
                <w:sz w:val="24"/>
                <w:szCs w:val="24"/>
                <w:lang w:val="en-US" w:eastAsia="en-US"/>
              </w:rPr>
              <w:t>.</w:t>
            </w:r>
          </w:p>
          <w:p w:rsidR="005846BC" w:rsidRPr="001B350E" w:rsidRDefault="005846BC">
            <w:pPr>
              <w:spacing w:line="256" w:lineRule="auto"/>
              <w:jc w:val="both"/>
              <w:rPr>
                <w:color w:val="000000"/>
                <w:sz w:val="24"/>
                <w:szCs w:val="24"/>
                <w:shd w:val="clear" w:color="auto" w:fill="FFFFFF"/>
                <w:lang w:val="en-US" w:eastAsia="en-US"/>
              </w:rPr>
            </w:pPr>
            <w:r w:rsidRPr="001B350E">
              <w:rPr>
                <w:color w:val="000000"/>
                <w:sz w:val="24"/>
                <w:szCs w:val="24"/>
                <w:shd w:val="clear" w:color="auto" w:fill="FFFFFF"/>
                <w:lang w:val="en-US" w:eastAsia="en-US"/>
              </w:rPr>
              <w:t>2.16.</w:t>
            </w:r>
            <w:r w:rsidR="001B350E" w:rsidRPr="001B350E">
              <w:rPr>
                <w:sz w:val="24"/>
                <w:szCs w:val="24"/>
                <w:lang w:val="en-US" w:eastAsia="en-US"/>
              </w:rPr>
              <w:t xml:space="preserve"> Indication on termination of the restrictions related to suspension of offering of securities: </w:t>
            </w:r>
            <w:r w:rsidR="001B350E" w:rsidRPr="001B350E">
              <w:rPr>
                <w:b/>
                <w:sz w:val="24"/>
                <w:szCs w:val="24"/>
                <w:lang w:val="en-US" w:eastAsia="en-US"/>
              </w:rPr>
              <w:t xml:space="preserve">The restrictions related to suspension of offering </w:t>
            </w:r>
            <w:r w:rsidR="00126C8B">
              <w:rPr>
                <w:b/>
                <w:sz w:val="24"/>
                <w:szCs w:val="24"/>
                <w:lang w:val="en-US" w:eastAsia="en-US"/>
              </w:rPr>
              <w:t>are</w:t>
            </w:r>
            <w:bookmarkStart w:id="0" w:name="_GoBack"/>
            <w:bookmarkEnd w:id="0"/>
            <w:r w:rsidR="001B350E" w:rsidRPr="001B350E">
              <w:rPr>
                <w:b/>
                <w:sz w:val="24"/>
                <w:szCs w:val="24"/>
                <w:lang w:val="en-US" w:eastAsia="en-US"/>
              </w:rPr>
              <w:t xml:space="preserve"> terminated. Offering of securities is resumed after the registration of the changes introduced to the Decision on additional securities issue and the Securities Prospectus and disclosure of information on recommencement of offering of securities</w:t>
            </w:r>
          </w:p>
          <w:p w:rsidR="00DF2CB2" w:rsidRDefault="001B350E" w:rsidP="00DF2CB2">
            <w:pPr>
              <w:spacing w:line="256" w:lineRule="auto"/>
              <w:jc w:val="both"/>
              <w:rPr>
                <w:b/>
                <w:sz w:val="24"/>
                <w:szCs w:val="24"/>
                <w:lang w:val="en-US" w:eastAsia="en-US"/>
              </w:rPr>
            </w:pPr>
            <w:r w:rsidRPr="00880CDD">
              <w:rPr>
                <w:color w:val="000000"/>
                <w:sz w:val="24"/>
                <w:szCs w:val="24"/>
                <w:shd w:val="clear" w:color="auto" w:fill="FFFFFF"/>
                <w:lang w:val="en-US" w:eastAsia="en-US"/>
              </w:rPr>
              <w:t>2.17.</w:t>
            </w:r>
            <w:r w:rsidR="00880CDD" w:rsidRPr="00880CDD">
              <w:rPr>
                <w:sz w:val="24"/>
                <w:szCs w:val="24"/>
                <w:lang w:val="en-US" w:eastAsia="en-US"/>
              </w:rPr>
              <w:t xml:space="preserve"> In the case of registration (approval at the stock exchange) of changes in the decision on the issue (additional issue) of securities (bonds programme, in terms of the issue (additional issue) of bonds within the bond programme) and (or) in the securities prospectus – a summary of the registered (approved by the exchange) changes in the decision on the issue (additional issue) of securities (bonds programme, in terms of the issue (additional issue) of bonds within the bond programme) and (or) the securities prospectus and the procedure for access to such changes: </w:t>
            </w:r>
            <w:r w:rsidR="00880CDD" w:rsidRPr="00880CDD">
              <w:rPr>
                <w:b/>
                <w:sz w:val="24"/>
                <w:szCs w:val="24"/>
                <w:lang w:val="en-US" w:eastAsia="en-US"/>
              </w:rPr>
              <w:t>Extension of the period of submitting offers on purchase of the issuer’s additional ordinary shares.</w:t>
            </w:r>
          </w:p>
          <w:p w:rsidR="00DF2CB2" w:rsidRDefault="00DF2CB2" w:rsidP="00DF2CB2">
            <w:pPr>
              <w:spacing w:line="256" w:lineRule="auto"/>
              <w:jc w:val="both"/>
              <w:rPr>
                <w:b/>
                <w:sz w:val="24"/>
                <w:szCs w:val="24"/>
                <w:lang w:val="en-US" w:eastAsia="en-US"/>
              </w:rPr>
            </w:pPr>
            <w:r w:rsidRPr="00DF2CB2">
              <w:rPr>
                <w:b/>
                <w:sz w:val="24"/>
                <w:szCs w:val="24"/>
                <w:lang w:val="en-US" w:eastAsia="en-US"/>
              </w:rPr>
              <w:t>The Issuer shall publish the text of the registered changes to the Decision on the Additional Issue of Securities and Securities Prospectus on the Issuer’s website on the Internet (</w:t>
            </w:r>
            <w:hyperlink r:id="rId8" w:history="1">
              <w:r w:rsidRPr="00DF2CB2">
                <w:rPr>
                  <w:rStyle w:val="a3"/>
                  <w:b/>
                  <w:bCs/>
                  <w:iCs/>
                  <w:sz w:val="24"/>
                  <w:szCs w:val="24"/>
                  <w:lang w:val="en-US"/>
                </w:rPr>
                <w:t>http://kubanenergo.ru/</w:t>
              </w:r>
            </w:hyperlink>
            <w:r w:rsidRPr="00DF2CB2">
              <w:rPr>
                <w:b/>
                <w:bCs/>
                <w:iCs/>
                <w:sz w:val="24"/>
                <w:szCs w:val="24"/>
                <w:lang w:val="en-US"/>
              </w:rPr>
              <w:t xml:space="preserve"> </w:t>
            </w:r>
            <w:r w:rsidRPr="009E24DD">
              <w:rPr>
                <w:b/>
                <w:sz w:val="24"/>
                <w:szCs w:val="24"/>
                <w:lang w:val="en-US"/>
              </w:rPr>
              <w:t>and</w:t>
            </w:r>
            <w:r w:rsidRPr="00DF2CB2">
              <w:rPr>
                <w:sz w:val="24"/>
                <w:szCs w:val="24"/>
                <w:lang w:val="en-US"/>
              </w:rPr>
              <w:t xml:space="preserve"> </w:t>
            </w:r>
            <w:hyperlink r:id="rId9" w:history="1">
              <w:r w:rsidRPr="00DF2CB2">
                <w:rPr>
                  <w:rStyle w:val="a3"/>
                  <w:b/>
                  <w:bCs/>
                  <w:iCs/>
                  <w:sz w:val="24"/>
                  <w:szCs w:val="24"/>
                  <w:lang w:val="en-US"/>
                </w:rPr>
                <w:t>http://www.e-disclosure.ru/portal/company.aspx?id=2827</w:t>
              </w:r>
            </w:hyperlink>
            <w:r w:rsidRPr="00DF2CB2">
              <w:rPr>
                <w:b/>
                <w:sz w:val="24"/>
                <w:szCs w:val="24"/>
                <w:lang w:val="en-US" w:eastAsia="en-US"/>
              </w:rPr>
              <w:t>) within 2 (two) days from the date of posting of information on registration of these changes on the page of the registering authority on the Internet or from the date of receipt of a written notice from a registering authority on registration of these changes by mail, facsimile, electronic mail or delivery against signature, whichever date comes first, but not earlier than the date of posting on the Internet the text of the registered Decision on the additional issue of securities and the registered Prospectus, respectively. When publishing the text of the amendments to the Decision on the additional issue of securities and the Securities Prospectus on the Internet, the date of registration of these changes and the name of the registering authority that carried out their registration should be indicated.</w:t>
            </w:r>
          </w:p>
          <w:p w:rsidR="00DF2CB2" w:rsidRDefault="00DF2CB2" w:rsidP="00DF2CB2">
            <w:pPr>
              <w:spacing w:line="256" w:lineRule="auto"/>
              <w:jc w:val="both"/>
              <w:rPr>
                <w:b/>
                <w:sz w:val="24"/>
                <w:szCs w:val="24"/>
                <w:lang w:val="en-US" w:eastAsia="en-US"/>
              </w:rPr>
            </w:pPr>
            <w:r w:rsidRPr="00DF2CB2">
              <w:rPr>
                <w:b/>
                <w:sz w:val="24"/>
                <w:szCs w:val="24"/>
                <w:lang w:val="en-US" w:eastAsia="en-US"/>
              </w:rPr>
              <w:t>The text of the registered changes in the Decision on the additional Issue of securities shall be available on the Internet from the expiry date set by the Regulation for Disclosure of Information for its posting on the Internet, and if it is posted on the Internet after the expiration of such period – from the date of its publication on the Internet and till the expiration of the period established by the Regulation for Disclosure of Information for provision of access to the text of the registered Decision on the additional issue of securities.</w:t>
            </w:r>
          </w:p>
          <w:p w:rsidR="00DF2CB2" w:rsidRDefault="00DF2CB2" w:rsidP="00DF2CB2">
            <w:pPr>
              <w:spacing w:line="256" w:lineRule="auto"/>
              <w:jc w:val="both"/>
              <w:rPr>
                <w:b/>
                <w:sz w:val="24"/>
                <w:szCs w:val="24"/>
                <w:lang w:val="en-US" w:eastAsia="en-US"/>
              </w:rPr>
            </w:pPr>
            <w:r w:rsidRPr="00DF2CB2">
              <w:rPr>
                <w:b/>
                <w:sz w:val="24"/>
                <w:szCs w:val="24"/>
                <w:lang w:val="en-US" w:eastAsia="en-US"/>
              </w:rPr>
              <w:t>The text of the registered changes in the Securities Prospectus shall be available on the Internet with an expiration date set by the Regulation for Disclosure of Information for its posting on the Internet, and if it is published on the Internet after the expiration of such period – the date of its publication on the Internet, and till the expiration of the period established by the Regulation for Disclosure of Information for provision of access to the text of the registered Securities Prospectus.</w:t>
            </w:r>
          </w:p>
          <w:p w:rsidR="006403D5" w:rsidRPr="00DF2CB2" w:rsidRDefault="006403D5" w:rsidP="00DF2CB2">
            <w:pPr>
              <w:spacing w:line="256" w:lineRule="auto"/>
              <w:jc w:val="both"/>
              <w:rPr>
                <w:b/>
                <w:sz w:val="24"/>
                <w:szCs w:val="24"/>
                <w:lang w:val="en-US" w:eastAsia="en-US"/>
              </w:rPr>
            </w:pPr>
            <w:r w:rsidRPr="006403D5">
              <w:rPr>
                <w:b/>
                <w:sz w:val="24"/>
                <w:szCs w:val="24"/>
                <w:lang w:val="en-US" w:eastAsia="en-US"/>
              </w:rPr>
              <w:lastRenderedPageBreak/>
              <w:t xml:space="preserve">The Issuer provides access to any interested person to the information contained in the registered </w:t>
            </w:r>
            <w:r w:rsidR="003612E3">
              <w:rPr>
                <w:b/>
                <w:sz w:val="24"/>
                <w:szCs w:val="24"/>
                <w:lang w:val="en-US" w:eastAsia="en-US"/>
              </w:rPr>
              <w:t>changes</w:t>
            </w:r>
            <w:r w:rsidRPr="006403D5">
              <w:rPr>
                <w:b/>
                <w:sz w:val="24"/>
                <w:szCs w:val="24"/>
                <w:lang w:val="en-US" w:eastAsia="en-US"/>
              </w:rPr>
              <w:t xml:space="preserve"> to the Decision on the additional issue of securities and the Securities Prospectus by placing their copies at the address of the issuer</w:t>
            </w:r>
            <w:r w:rsidR="003612E3">
              <w:rPr>
                <w:b/>
                <w:sz w:val="24"/>
                <w:szCs w:val="24"/>
                <w:lang w:val="en-US" w:eastAsia="en-US"/>
              </w:rPr>
              <w:t>’</w:t>
            </w:r>
            <w:r w:rsidRPr="006403D5">
              <w:rPr>
                <w:b/>
                <w:sz w:val="24"/>
                <w:szCs w:val="24"/>
                <w:lang w:val="en-US" w:eastAsia="en-US"/>
              </w:rPr>
              <w:t>s</w:t>
            </w:r>
            <w:r w:rsidR="003612E3" w:rsidRPr="003612E3">
              <w:rPr>
                <w:lang w:val="en-US"/>
              </w:rPr>
              <w:t xml:space="preserve"> </w:t>
            </w:r>
            <w:r w:rsidR="003612E3">
              <w:rPr>
                <w:b/>
                <w:sz w:val="24"/>
                <w:szCs w:val="24"/>
                <w:lang w:val="en-US" w:eastAsia="en-US"/>
              </w:rPr>
              <w:t>current</w:t>
            </w:r>
            <w:r w:rsidR="003612E3" w:rsidRPr="003612E3">
              <w:rPr>
                <w:b/>
                <w:sz w:val="24"/>
                <w:szCs w:val="24"/>
                <w:lang w:val="en-US" w:eastAsia="en-US"/>
              </w:rPr>
              <w:t xml:space="preserve"> executive body </w:t>
            </w:r>
            <w:r w:rsidR="003612E3">
              <w:rPr>
                <w:b/>
                <w:sz w:val="24"/>
                <w:szCs w:val="24"/>
                <w:lang w:val="en-US" w:eastAsia="en-US"/>
              </w:rPr>
              <w:t>that the issuer uses for</w:t>
            </w:r>
            <w:r w:rsidR="003612E3" w:rsidRPr="003612E3">
              <w:rPr>
                <w:b/>
                <w:sz w:val="24"/>
                <w:szCs w:val="24"/>
                <w:lang w:val="en-US" w:eastAsia="en-US"/>
              </w:rPr>
              <w:t xml:space="preserve"> communication</w:t>
            </w:r>
            <w:r w:rsidR="003612E3">
              <w:rPr>
                <w:b/>
                <w:sz w:val="24"/>
                <w:szCs w:val="24"/>
                <w:lang w:val="en-US" w:eastAsia="en-US"/>
              </w:rPr>
              <w:t>,</w:t>
            </w:r>
            <w:r w:rsidR="003612E3" w:rsidRPr="003612E3">
              <w:rPr>
                <w:b/>
                <w:sz w:val="24"/>
                <w:szCs w:val="24"/>
                <w:lang w:val="en-US" w:eastAsia="en-US"/>
              </w:rPr>
              <w:t xml:space="preserve"> specified in the unified state register of legal entities, and before the end of the securities </w:t>
            </w:r>
            <w:r w:rsidR="003612E3">
              <w:rPr>
                <w:b/>
                <w:sz w:val="24"/>
                <w:szCs w:val="24"/>
                <w:lang w:val="en-US" w:eastAsia="en-US"/>
              </w:rPr>
              <w:t>offering</w:t>
            </w:r>
            <w:r w:rsidR="003612E3" w:rsidRPr="003612E3">
              <w:rPr>
                <w:b/>
                <w:sz w:val="24"/>
                <w:szCs w:val="24"/>
                <w:lang w:val="en-US" w:eastAsia="en-US"/>
              </w:rPr>
              <w:t xml:space="preserve"> period</w:t>
            </w:r>
            <w:r w:rsidR="003612E3">
              <w:rPr>
                <w:b/>
                <w:sz w:val="24"/>
                <w:szCs w:val="24"/>
                <w:lang w:val="en-US" w:eastAsia="en-US"/>
              </w:rPr>
              <w:t xml:space="preserve">, as well as at </w:t>
            </w:r>
            <w:r w:rsidR="003612E3" w:rsidRPr="003612E3">
              <w:rPr>
                <w:b/>
                <w:sz w:val="24"/>
                <w:szCs w:val="24"/>
                <w:lang w:val="en-US" w:eastAsia="en-US"/>
              </w:rPr>
              <w:t>the places indicated in the issuer</w:t>
            </w:r>
            <w:r w:rsidR="003612E3">
              <w:rPr>
                <w:b/>
                <w:sz w:val="24"/>
                <w:szCs w:val="24"/>
                <w:lang w:val="en-US" w:eastAsia="en-US"/>
              </w:rPr>
              <w:t>’</w:t>
            </w:r>
            <w:r w:rsidR="003612E3" w:rsidRPr="003612E3">
              <w:rPr>
                <w:b/>
                <w:sz w:val="24"/>
                <w:szCs w:val="24"/>
                <w:lang w:val="en-US" w:eastAsia="en-US"/>
              </w:rPr>
              <w:t>s advertising messages containing</w:t>
            </w:r>
            <w:r w:rsidR="003612E3">
              <w:rPr>
                <w:b/>
                <w:sz w:val="24"/>
                <w:szCs w:val="24"/>
                <w:lang w:val="en-US" w:eastAsia="en-US"/>
              </w:rPr>
              <w:t xml:space="preserve"> the</w:t>
            </w:r>
            <w:r w:rsidR="003612E3" w:rsidRPr="003612E3">
              <w:rPr>
                <w:b/>
                <w:sz w:val="24"/>
                <w:szCs w:val="24"/>
                <w:lang w:val="en-US" w:eastAsia="en-US"/>
              </w:rPr>
              <w:t xml:space="preserve"> information on securities</w:t>
            </w:r>
            <w:r w:rsidR="003612E3">
              <w:rPr>
                <w:b/>
                <w:sz w:val="24"/>
                <w:szCs w:val="24"/>
                <w:lang w:val="en-US" w:eastAsia="en-US"/>
              </w:rPr>
              <w:t xml:space="preserve"> offering</w:t>
            </w:r>
            <w:r w:rsidRPr="006403D5">
              <w:rPr>
                <w:b/>
                <w:sz w:val="24"/>
                <w:szCs w:val="24"/>
                <w:lang w:val="en-US" w:eastAsia="en-US"/>
              </w:rPr>
              <w:t>.</w:t>
            </w:r>
          </w:p>
          <w:p w:rsidR="00FB0D81" w:rsidRPr="003612E3" w:rsidRDefault="006403D5">
            <w:pPr>
              <w:spacing w:line="256" w:lineRule="auto"/>
              <w:jc w:val="both"/>
              <w:rPr>
                <w:color w:val="000000"/>
                <w:sz w:val="22"/>
                <w:szCs w:val="24"/>
                <w:shd w:val="clear" w:color="auto" w:fill="FFFFFF"/>
                <w:lang w:val="en-US" w:eastAsia="en-US"/>
              </w:rPr>
            </w:pPr>
            <w:r w:rsidRPr="006403D5">
              <w:rPr>
                <w:b/>
                <w:sz w:val="24"/>
                <w:szCs w:val="28"/>
                <w:lang w:val="en-US" w:eastAsia="en-US"/>
              </w:rPr>
              <w:t>The issuer shall provide a copy of the registered changes in the Decision on the additional issue of securities and changes in the Securities Prospectus to holders and other interested parties upon their request for a fee not exceeding the cost of making such copies within a period of 7 days from the date of receipt (submission) of the corresponding request.</w:t>
            </w:r>
          </w:p>
        </w:tc>
      </w:tr>
      <w:tr w:rsidR="009E24DD" w:rsidTr="009E24DD">
        <w:tblPrEx>
          <w:tblCellMar>
            <w:left w:w="108" w:type="dxa"/>
            <w:right w:w="108" w:type="dxa"/>
          </w:tblCellMar>
        </w:tblPrEx>
        <w:trPr>
          <w:cantSplit/>
        </w:trPr>
        <w:tc>
          <w:tcPr>
            <w:tcW w:w="9498"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24DD" w:rsidRPr="009E24DD" w:rsidRDefault="009E24DD" w:rsidP="00810E3B">
            <w:pPr>
              <w:spacing w:line="252" w:lineRule="auto"/>
              <w:jc w:val="center"/>
              <w:rPr>
                <w:color w:val="000000" w:themeColor="text1"/>
                <w:sz w:val="24"/>
                <w:lang w:val="en-US" w:eastAsia="en-US"/>
              </w:rPr>
            </w:pPr>
            <w:r w:rsidRPr="009E24DD">
              <w:rPr>
                <w:color w:val="000000" w:themeColor="text1"/>
                <w:sz w:val="24"/>
                <w:lang w:val="en-US" w:eastAsia="en-US"/>
              </w:rPr>
              <w:lastRenderedPageBreak/>
              <w:t>3. Signature</w:t>
            </w:r>
          </w:p>
        </w:tc>
      </w:tr>
      <w:tr w:rsidR="009E24DD" w:rsidTr="009E24DD">
        <w:tblPrEx>
          <w:tblCellMar>
            <w:left w:w="108" w:type="dxa"/>
            <w:right w:w="108" w:type="dxa"/>
          </w:tblCellMar>
        </w:tblPrEx>
        <w:trPr>
          <w:cantSplit/>
          <w:trHeight w:val="1187"/>
        </w:trPr>
        <w:tc>
          <w:tcPr>
            <w:tcW w:w="5642"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9E24DD" w:rsidRDefault="009E24DD" w:rsidP="009E24DD">
            <w:pPr>
              <w:pStyle w:val="Default"/>
              <w:spacing w:line="252" w:lineRule="auto"/>
              <w:jc w:val="both"/>
              <w:rPr>
                <w:lang w:val="en-US"/>
              </w:rPr>
            </w:pPr>
            <w:r>
              <w:rPr>
                <w:lang w:val="en-US"/>
              </w:rPr>
              <w:t>3.1 Head of Corporate Governance and Shareholder Relations Department (by power of attorney No.119/10-337 dated 17.01.2017)</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9E24DD" w:rsidRDefault="009E24DD" w:rsidP="00810E3B">
            <w:pPr>
              <w:spacing w:line="252" w:lineRule="auto"/>
              <w:rPr>
                <w:lang w:val="en-US" w:eastAsia="en-US"/>
              </w:rPr>
            </w:pPr>
            <w:r>
              <w:rPr>
                <w:lang w:val="en-US" w:eastAsia="en-US"/>
              </w:rPr>
              <w:t>_______________</w:t>
            </w:r>
          </w:p>
          <w:p w:rsidR="009E24DD" w:rsidRDefault="009E24DD" w:rsidP="00810E3B">
            <w:pPr>
              <w:spacing w:line="252" w:lineRule="auto"/>
              <w:rPr>
                <w:lang w:val="en-US" w:eastAsia="en-US"/>
              </w:rPr>
            </w:pPr>
            <w:r>
              <w:rPr>
                <w:lang w:val="en-US" w:eastAsia="en-US"/>
              </w:rPr>
              <w:t>(signature)</w:t>
            </w:r>
          </w:p>
        </w:tc>
        <w:tc>
          <w:tcPr>
            <w:tcW w:w="1872" w:type="dxa"/>
            <w:tcBorders>
              <w:top w:val="single" w:sz="4" w:space="0" w:color="auto"/>
              <w:left w:val="nil"/>
              <w:bottom w:val="nil"/>
              <w:right w:val="single" w:sz="4" w:space="0" w:color="auto"/>
            </w:tcBorders>
            <w:tcMar>
              <w:top w:w="0" w:type="dxa"/>
              <w:left w:w="28" w:type="dxa"/>
              <w:bottom w:w="0" w:type="dxa"/>
              <w:right w:w="28" w:type="dxa"/>
            </w:tcMar>
            <w:vAlign w:val="bottom"/>
          </w:tcPr>
          <w:p w:rsidR="009E24DD" w:rsidRPr="009E24DD" w:rsidRDefault="009E24DD" w:rsidP="00810E3B">
            <w:pPr>
              <w:spacing w:line="252" w:lineRule="auto"/>
              <w:rPr>
                <w:sz w:val="24"/>
                <w:lang w:val="en-US" w:eastAsia="en-US"/>
              </w:rPr>
            </w:pPr>
            <w:proofErr w:type="spellStart"/>
            <w:r w:rsidRPr="009E24DD">
              <w:rPr>
                <w:sz w:val="24"/>
                <w:lang w:val="en-US" w:eastAsia="en-US"/>
              </w:rPr>
              <w:t>Didenko</w:t>
            </w:r>
            <w:proofErr w:type="spellEnd"/>
            <w:r w:rsidRPr="009E24DD">
              <w:rPr>
                <w:sz w:val="24"/>
                <w:lang w:val="en-US" w:eastAsia="en-US"/>
              </w:rPr>
              <w:t xml:space="preserve"> </w:t>
            </w:r>
            <w:proofErr w:type="spellStart"/>
            <w:r w:rsidRPr="009E24DD">
              <w:rPr>
                <w:sz w:val="24"/>
                <w:lang w:val="en-US" w:eastAsia="en-US"/>
              </w:rPr>
              <w:t>Ye.Ye</w:t>
            </w:r>
            <w:proofErr w:type="spellEnd"/>
            <w:r w:rsidRPr="009E24DD">
              <w:rPr>
                <w:sz w:val="24"/>
                <w:lang w:val="en-US" w:eastAsia="en-US"/>
              </w:rPr>
              <w:t>.</w:t>
            </w:r>
          </w:p>
          <w:p w:rsidR="009E24DD" w:rsidRPr="009E24DD" w:rsidRDefault="009E24DD" w:rsidP="00810E3B">
            <w:pPr>
              <w:spacing w:line="252" w:lineRule="auto"/>
              <w:rPr>
                <w:sz w:val="24"/>
                <w:lang w:val="en-US" w:eastAsia="en-US"/>
              </w:rPr>
            </w:pPr>
          </w:p>
        </w:tc>
      </w:tr>
      <w:tr w:rsidR="009E24DD" w:rsidTr="009E24DD">
        <w:tblPrEx>
          <w:tblCellMar>
            <w:left w:w="108" w:type="dxa"/>
            <w:right w:w="108" w:type="dxa"/>
          </w:tblCellMar>
        </w:tblPrEx>
        <w:trPr>
          <w:cantSplit/>
          <w:trHeight w:val="645"/>
        </w:trPr>
        <w:tc>
          <w:tcPr>
            <w:tcW w:w="5642"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9E24DD" w:rsidRDefault="009E24DD" w:rsidP="009E24DD">
            <w:pPr>
              <w:spacing w:line="252" w:lineRule="auto"/>
              <w:rPr>
                <w:lang w:val="en-US" w:eastAsia="en-US"/>
              </w:rPr>
            </w:pPr>
            <w:r w:rsidRPr="009E24DD">
              <w:rPr>
                <w:sz w:val="24"/>
                <w:lang w:val="en-US" w:eastAsia="en-US"/>
              </w:rPr>
              <w:t>3.2 Date: 15 December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9E24DD" w:rsidRDefault="009E24DD" w:rsidP="00810E3B">
            <w:pPr>
              <w:spacing w:line="252" w:lineRule="auto"/>
              <w:rPr>
                <w:lang w:val="en-US" w:eastAsia="en-US"/>
              </w:rPr>
            </w:pPr>
            <w:r>
              <w:rPr>
                <w:lang w:val="en-US" w:eastAsia="en-US"/>
              </w:rPr>
              <w:t xml:space="preserve">seal </w:t>
            </w:r>
          </w:p>
        </w:tc>
        <w:tc>
          <w:tcPr>
            <w:tcW w:w="1872" w:type="dxa"/>
            <w:tcBorders>
              <w:top w:val="nil"/>
              <w:left w:val="nil"/>
              <w:bottom w:val="single" w:sz="4" w:space="0" w:color="auto"/>
              <w:right w:val="single" w:sz="4" w:space="0" w:color="auto"/>
            </w:tcBorders>
            <w:tcMar>
              <w:top w:w="0" w:type="dxa"/>
              <w:left w:w="28" w:type="dxa"/>
              <w:bottom w:w="0" w:type="dxa"/>
              <w:right w:w="28" w:type="dxa"/>
            </w:tcMar>
            <w:vAlign w:val="bottom"/>
          </w:tcPr>
          <w:p w:rsidR="009E24DD" w:rsidRDefault="009E24DD" w:rsidP="00810E3B">
            <w:pPr>
              <w:spacing w:line="252" w:lineRule="auto"/>
              <w:rPr>
                <w:lang w:val="en-US" w:eastAsia="en-US"/>
              </w:rPr>
            </w:pPr>
          </w:p>
        </w:tc>
      </w:tr>
    </w:tbl>
    <w:p w:rsidR="009E24DD" w:rsidRPr="00B154E9" w:rsidRDefault="009E24DD" w:rsidP="009E24DD">
      <w:pPr>
        <w:rPr>
          <w:lang w:val="en-US"/>
        </w:rPr>
      </w:pPr>
    </w:p>
    <w:p w:rsidR="009E24DD" w:rsidRDefault="009E24DD" w:rsidP="009E24DD"/>
    <w:p w:rsidR="009E24DD" w:rsidRDefault="009E24DD" w:rsidP="009E24DD"/>
    <w:p w:rsidR="009E24DD" w:rsidRDefault="009E24DD" w:rsidP="009E24DD"/>
    <w:p w:rsidR="009E24DD" w:rsidRDefault="009E24DD" w:rsidP="009E24DD"/>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E7D38"/>
    <w:multiLevelType w:val="multilevel"/>
    <w:tmpl w:val="5C12A3C4"/>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81"/>
    <w:rsid w:val="00040F13"/>
    <w:rsid w:val="00126C8B"/>
    <w:rsid w:val="001B350E"/>
    <w:rsid w:val="003612E3"/>
    <w:rsid w:val="005846BC"/>
    <w:rsid w:val="0059029B"/>
    <w:rsid w:val="0062058F"/>
    <w:rsid w:val="006403D5"/>
    <w:rsid w:val="00880CDD"/>
    <w:rsid w:val="009E24DD"/>
    <w:rsid w:val="00B16554"/>
    <w:rsid w:val="00D956FD"/>
    <w:rsid w:val="00DF2CB2"/>
    <w:rsid w:val="00F40FD3"/>
    <w:rsid w:val="00FB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6926"/>
  <w15:chartTrackingRefBased/>
  <w15:docId w15:val="{C52B383F-DDFE-42DD-80D5-835272A5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8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D81"/>
    <w:rPr>
      <w:rFonts w:ascii="Times New Roman" w:hAnsi="Times New Roman" w:cs="Times New Roman" w:hint="default"/>
      <w:color w:val="0000FF"/>
      <w:u w:val="single"/>
    </w:rPr>
  </w:style>
  <w:style w:type="character" w:customStyle="1" w:styleId="a4">
    <w:name w:val="Текст Знак"/>
    <w:aliases w:val="Текст Знак Знак Знак Знак Знак Знак Знак Знак Знак Знак Знак Знак Знак Знак,Текст Знак Знак Знак Знак Знак Знак Знак Знак Знак Знак Знак Знак Знак1,Текст Знак Знак Знак Знак Знак Знак Знак Знак Знак Знак Знак"/>
    <w:basedOn w:val="a0"/>
    <w:link w:val="a5"/>
    <w:uiPriority w:val="99"/>
    <w:semiHidden/>
    <w:locked/>
    <w:rsid w:val="00FB0D81"/>
    <w:rPr>
      <w:rFonts w:ascii="Courier New" w:eastAsia="Times New Roman" w:hAnsi="Courier New" w:cs="Courier New"/>
      <w:sz w:val="20"/>
      <w:szCs w:val="20"/>
      <w:lang w:eastAsia="ru-RU"/>
    </w:rPr>
  </w:style>
  <w:style w:type="paragraph" w:styleId="a5">
    <w:name w:val="Plain Text"/>
    <w:aliases w:val="Текст Знак Знак Знак Знак Знак Знак Знак Знак Знак Знак Знак Знак Знак,Текст Знак Знак Знак Знак Знак Знак Знак Знак Знак Знак Знак Знак,Текст Знак Знак Знак Знак Знак Знак Знак Знак Знак Знак"/>
    <w:basedOn w:val="a"/>
    <w:link w:val="a4"/>
    <w:uiPriority w:val="99"/>
    <w:semiHidden/>
    <w:unhideWhenUsed/>
    <w:rsid w:val="00FB0D81"/>
    <w:pPr>
      <w:autoSpaceDE/>
      <w:autoSpaceDN/>
    </w:pPr>
    <w:rPr>
      <w:rFonts w:ascii="Courier New" w:hAnsi="Courier New" w:cs="Courier New"/>
    </w:rPr>
  </w:style>
  <w:style w:type="character" w:customStyle="1" w:styleId="1">
    <w:name w:val="Текст Знак1"/>
    <w:basedOn w:val="a0"/>
    <w:uiPriority w:val="99"/>
    <w:semiHidden/>
    <w:rsid w:val="00FB0D81"/>
    <w:rPr>
      <w:rFonts w:ascii="Consolas" w:eastAsia="Times New Roman" w:hAnsi="Consolas" w:cs="Times New Roman"/>
      <w:sz w:val="21"/>
      <w:szCs w:val="21"/>
      <w:lang w:eastAsia="ru-RU"/>
    </w:rPr>
  </w:style>
  <w:style w:type="paragraph" w:styleId="a6">
    <w:name w:val="No Spacing"/>
    <w:uiPriority w:val="1"/>
    <w:qFormat/>
    <w:rsid w:val="00FB0D81"/>
    <w:pPr>
      <w:spacing w:after="0" w:line="240" w:lineRule="auto"/>
    </w:pPr>
    <w:rPr>
      <w:rFonts w:ascii="Calibri" w:eastAsia="Times New Roman" w:hAnsi="Calibri" w:cs="Times New Roman"/>
    </w:rPr>
  </w:style>
  <w:style w:type="paragraph" w:customStyle="1" w:styleId="Default">
    <w:name w:val="Default"/>
    <w:rsid w:val="00FB0D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ST">
    <w:name w:val="__SUBST"/>
    <w:uiPriority w:val="99"/>
    <w:rsid w:val="00FB0D81"/>
    <w:rPr>
      <w:b/>
      <w:bCs w:val="0"/>
      <w:i/>
      <w:i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anenergo.ru/" TargetMode="External"/><Relationship Id="rId3" Type="http://schemas.openxmlformats.org/officeDocument/2006/relationships/styles" Target="styles.xml"/><Relationship Id="rId7" Type="http://schemas.openxmlformats.org/officeDocument/2006/relationships/hyperlink" Target="http://www.e-disclosure.ru/portal/company.aspx?id=2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3E2B-4E7F-4FD4-8871-ABCBC26F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2017-12-18T20:59:00Z</dcterms:created>
  <dcterms:modified xsi:type="dcterms:W3CDTF">2017-12-19T14:47:00Z</dcterms:modified>
</cp:coreProperties>
</file>