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48" w:rsidRDefault="006C6E48" w:rsidP="006C6E4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6C6E48" w:rsidRDefault="006C6E48" w:rsidP="006C6E48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6C6E48" w:rsidRDefault="006C6E48" w:rsidP="006C6E48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6C6E48" w:rsidTr="0021781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Default="006C6E48" w:rsidP="00217814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6C6E48" w:rsidRPr="006C6E48" w:rsidTr="00217814">
        <w:trPr>
          <w:trHeight w:val="5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Default="006C6E48" w:rsidP="0021781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Pr="006C6E48" w:rsidRDefault="006C6E48" w:rsidP="00217814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C6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6C6E48" w:rsidTr="002178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Default="006C6E48" w:rsidP="0021781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1.2. Abbreviated name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Pr="006C6E48" w:rsidRDefault="006C6E48" w:rsidP="00217814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6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6C6E48" w:rsidTr="002178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Default="006C6E48" w:rsidP="0021781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1.3. Location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Pr="006C6E48" w:rsidRDefault="006C6E48" w:rsidP="00217814">
            <w:pPr>
              <w:jc w:val="both"/>
              <w:rPr>
                <w:b/>
                <w:color w:val="000000" w:themeColor="text1"/>
                <w:lang w:val="en-US" w:eastAsia="en-US"/>
              </w:rPr>
            </w:pPr>
            <w:r w:rsidRPr="006C6E48">
              <w:rPr>
                <w:b/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6C6E48" w:rsidTr="002178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Default="006C6E48" w:rsidP="0021781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Pr="006C6E48" w:rsidRDefault="006C6E48" w:rsidP="00217814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C6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6C6E48" w:rsidTr="00217814">
        <w:trPr>
          <w:trHeight w:val="5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Default="006C6E48" w:rsidP="0021781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Pr="006C6E48" w:rsidRDefault="006C6E48" w:rsidP="00217814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C6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6C6E48" w:rsidTr="002178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Default="006C6E48" w:rsidP="0021781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Pr="006C6E48" w:rsidRDefault="006C6E48" w:rsidP="00217814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C6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00063-</w:t>
            </w:r>
            <w:r w:rsidRPr="006C6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6C6E48" w:rsidRPr="006C6E48" w:rsidTr="002178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Default="006C6E48" w:rsidP="0021781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1.7. Web-page for disclosure of information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Default="006C6E48" w:rsidP="0021781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C6E48" w:rsidRDefault="006C6E48" w:rsidP="0021781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6C6E48" w:rsidTr="0021781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Default="006C6E48" w:rsidP="00217814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both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6C6E48" w:rsidTr="00217814">
        <w:trPr>
          <w:trHeight w:val="142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48" w:rsidRDefault="006C6E48" w:rsidP="00217814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6C6E48" w:rsidRDefault="006C6E48" w:rsidP="00217814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6C6E48" w:rsidRDefault="006C6E48" w:rsidP="00217814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Members participated in the meeting: </w:t>
            </w:r>
            <w:r w:rsidRPr="00D9287D">
              <w:rPr>
                <w:color w:val="000000" w:themeColor="text1"/>
                <w:lang w:val="en-US" w:eastAsia="en-US"/>
              </w:rPr>
              <w:t>1</w:t>
            </w:r>
            <w:r>
              <w:rPr>
                <w:color w:val="000000" w:themeColor="text1"/>
                <w:lang w:val="en-US" w:eastAsia="en-US"/>
              </w:rPr>
              <w:t>0</w:t>
            </w:r>
            <w:r>
              <w:rPr>
                <w:color w:val="000000" w:themeColor="text1"/>
                <w:lang w:val="en-US" w:eastAsia="en-US"/>
              </w:rPr>
              <w:t xml:space="preserve"> members</w:t>
            </w:r>
          </w:p>
          <w:p w:rsidR="006C6E48" w:rsidRDefault="006C6E48" w:rsidP="00217814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6C6E48" w:rsidRDefault="006C6E48" w:rsidP="0021781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6C6E48" w:rsidRDefault="006C6E48" w:rsidP="0021781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7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6C6E48" w:rsidTr="00217814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E48" w:rsidRDefault="006C6E48" w:rsidP="00217814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E48" w:rsidRDefault="006C6E48" w:rsidP="00217814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6C6E48" w:rsidTr="00217814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6E48" w:rsidRDefault="006C6E48" w:rsidP="00217814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E48" w:rsidRDefault="006C6E48" w:rsidP="0021781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E48" w:rsidRDefault="006C6E48" w:rsidP="00217814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6E48" w:rsidRDefault="006C6E48" w:rsidP="00217814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6C6E48" w:rsidTr="00217814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E48" w:rsidRDefault="006C6E48" w:rsidP="00217814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C6E48" w:rsidRPr="006C6E48" w:rsidRDefault="006C6E48" w:rsidP="0021781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E48" w:rsidRDefault="006C6E48" w:rsidP="0021781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E48" w:rsidRDefault="006C6E48" w:rsidP="0021781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C6E48" w:rsidTr="00217814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E48" w:rsidRDefault="006C6E48" w:rsidP="006C6E48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C6E48" w:rsidRDefault="006C6E48" w:rsidP="006C6E48">
                  <w:pPr>
                    <w:jc w:val="center"/>
                  </w:pPr>
                  <w:r w:rsidRPr="008D62B8">
                    <w:rPr>
                      <w:b/>
                      <w:lang w:val="en-US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E48" w:rsidRDefault="006C6E48" w:rsidP="006C6E4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E48" w:rsidRDefault="006C6E48" w:rsidP="006C6E4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C6E48" w:rsidTr="00217814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E48" w:rsidRDefault="006C6E48" w:rsidP="006C6E48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C6E48" w:rsidRDefault="006C6E48" w:rsidP="006C6E48">
                  <w:pPr>
                    <w:jc w:val="center"/>
                  </w:pPr>
                  <w:r w:rsidRPr="008D62B8">
                    <w:rPr>
                      <w:b/>
                      <w:lang w:val="en-US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E48" w:rsidRDefault="006C6E48" w:rsidP="006C6E4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E48" w:rsidRDefault="006C6E48" w:rsidP="006C6E4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C6E48" w:rsidTr="00217814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E48" w:rsidRDefault="006C6E48" w:rsidP="006C6E48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C6E48" w:rsidRDefault="006C6E48" w:rsidP="006C6E48">
                  <w:pPr>
                    <w:jc w:val="center"/>
                  </w:pPr>
                  <w:r w:rsidRPr="008D62B8">
                    <w:rPr>
                      <w:b/>
                      <w:lang w:val="en-US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E48" w:rsidRDefault="006C6E48" w:rsidP="006C6E4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E48" w:rsidRDefault="006C6E48" w:rsidP="006C6E4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C6E48" w:rsidTr="00217814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E48" w:rsidRDefault="006C6E48" w:rsidP="006C6E48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C6E48" w:rsidRDefault="006C6E48" w:rsidP="006C6E48">
                  <w:pPr>
                    <w:jc w:val="center"/>
                  </w:pPr>
                  <w:r w:rsidRPr="008D62B8">
                    <w:rPr>
                      <w:b/>
                      <w:lang w:val="en-US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E48" w:rsidRDefault="006C6E48" w:rsidP="006C6E4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E48" w:rsidRDefault="006C6E48" w:rsidP="006C6E4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C6E48" w:rsidRDefault="006C6E48" w:rsidP="00217814">
            <w:pPr>
              <w:autoSpaceDE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C6E48" w:rsidRPr="006C6E48" w:rsidTr="0021781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Default="006C6E48" w:rsidP="00217814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6C6E48" w:rsidRDefault="006C6E48" w:rsidP="006C6E48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3A3272">
              <w:rPr>
                <w:b/>
                <w:lang w:val="en-US" w:eastAsia="en-US"/>
              </w:rPr>
              <w:t>Implementation of the Environmental Policy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6C6E48" w:rsidRPr="006C6E48" w:rsidTr="0021781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Default="006C6E48" w:rsidP="00217814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6C6E48" w:rsidRDefault="006C6E48" w:rsidP="00217814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1. </w:t>
            </w:r>
            <w:r w:rsidRPr="006C6E48">
              <w:rPr>
                <w:lang w:val="en-US" w:eastAsia="en-US"/>
              </w:rPr>
              <w:t xml:space="preserve">To join the implementation of </w:t>
            </w:r>
            <w:r>
              <w:rPr>
                <w:lang w:val="en-US" w:eastAsia="en-US"/>
              </w:rPr>
              <w:t>the E</w:t>
            </w:r>
            <w:r w:rsidRPr="006C6E48">
              <w:rPr>
                <w:lang w:val="en-US" w:eastAsia="en-US"/>
              </w:rPr>
              <w:t xml:space="preserve">nvironmental policy in the power grid complex (hereinafter </w:t>
            </w:r>
            <w:r>
              <w:rPr>
                <w:lang w:val="en-US" w:eastAsia="en-US"/>
              </w:rPr>
              <w:t>–</w:t>
            </w:r>
            <w:r w:rsidRPr="006C6E48">
              <w:rPr>
                <w:lang w:val="en-US" w:eastAsia="en-US"/>
              </w:rPr>
              <w:t xml:space="preserve"> the Policy) approved by the decision of the Board of Directors of </w:t>
            </w:r>
            <w:r>
              <w:rPr>
                <w:lang w:val="en-US" w:eastAsia="en-US"/>
              </w:rPr>
              <w:t>Rosseti PJSC</w:t>
            </w:r>
            <w:r w:rsidRPr="006C6E48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on</w:t>
            </w:r>
            <w:r w:rsidRPr="006C6E48">
              <w:rPr>
                <w:lang w:val="en-US" w:eastAsia="en-US"/>
              </w:rPr>
              <w:t xml:space="preserve"> 01.03.2017 (Minutes No. 254 of 03.03.2017) and approve the Policy as an internal document of the Company</w:t>
            </w:r>
            <w:r>
              <w:rPr>
                <w:lang w:val="en-US" w:eastAsia="en-US"/>
              </w:rPr>
              <w:t>, in accordance with Appendix No.1 to this decision of the Board of Directors of the Company.</w:t>
            </w:r>
          </w:p>
          <w:p w:rsidR="006C6E48" w:rsidRPr="006C6E48" w:rsidRDefault="006C6E48" w:rsidP="006C6E48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  <w:r w:rsidRPr="006C6E48">
              <w:rPr>
                <w:lang w:val="en-US"/>
              </w:rPr>
              <w:t xml:space="preserve"> </w:t>
            </w:r>
            <w:r>
              <w:rPr>
                <w:lang w:val="en-US" w:eastAsia="en-US"/>
              </w:rPr>
              <w:t>To a</w:t>
            </w:r>
            <w:r w:rsidRPr="006C6E48">
              <w:rPr>
                <w:lang w:val="en-US" w:eastAsia="en-US"/>
              </w:rPr>
              <w:t>pprove the Plan of Kubanenergo</w:t>
            </w:r>
            <w:r>
              <w:rPr>
                <w:lang w:val="en-US" w:eastAsia="en-US"/>
              </w:rPr>
              <w:t xml:space="preserve"> PJSC on</w:t>
            </w:r>
            <w:r w:rsidRPr="006C6E48">
              <w:rPr>
                <w:lang w:val="en-US" w:eastAsia="en-US"/>
              </w:rPr>
              <w:t xml:space="preserve"> the Implementation of the Environmental Policy 2017-2019</w:t>
            </w:r>
            <w:r>
              <w:rPr>
                <w:lang w:val="en-US" w:eastAsia="en-US"/>
              </w:rPr>
              <w:t>, in accordance with Appendix No.</w:t>
            </w:r>
            <w:r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 xml:space="preserve"> to this decision of the Board of Directors of the Company.</w:t>
            </w:r>
          </w:p>
        </w:tc>
      </w:tr>
      <w:tr w:rsidR="006C6E48" w:rsidRPr="006C6E48" w:rsidTr="0021781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Default="006C6E48" w:rsidP="00217814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6C6E48" w:rsidRDefault="006C6E48" w:rsidP="00217814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2 “</w:t>
            </w:r>
            <w:r w:rsidRPr="003A3272">
              <w:rPr>
                <w:b/>
                <w:lang w:val="en-US" w:eastAsia="en-US"/>
              </w:rPr>
              <w:t>Discussion of the report as of 30.06.2017 on implementation of the Plan of development and improvement of internal control and risks management systems of Kubanenergo PJSC for 2016-2018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6C6E48" w:rsidRPr="006C6E48" w:rsidTr="0021781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Default="006C6E48" w:rsidP="00217814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2.2.2.  Decision adopted by issuer’s Board of Directors:</w:t>
            </w:r>
          </w:p>
          <w:p w:rsidR="006C6E48" w:rsidRDefault="006C6E48" w:rsidP="006C6E48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lang w:val="en-US" w:eastAsia="en-US"/>
              </w:rPr>
            </w:pPr>
            <w:r w:rsidRPr="006C6E48">
              <w:rPr>
                <w:lang w:val="en-US" w:eastAsia="en-US"/>
              </w:rPr>
              <w:t xml:space="preserve">To take into consideration the </w:t>
            </w:r>
            <w:r w:rsidRPr="006C6E48">
              <w:rPr>
                <w:lang w:val="en-US" w:eastAsia="en-US"/>
              </w:rPr>
              <w:t>report as of 30.06.2017 on implementation of the Plan of development and improvement of internal control and risks management systems of Kubanenergo PJSC for 2016-2018, in accordance with Appendix No.</w:t>
            </w:r>
            <w:r>
              <w:rPr>
                <w:lang w:val="en-US" w:eastAsia="en-US"/>
              </w:rPr>
              <w:t>6</w:t>
            </w:r>
            <w:r w:rsidRPr="006C6E48">
              <w:rPr>
                <w:lang w:val="en-US" w:eastAsia="en-US"/>
              </w:rPr>
              <w:t xml:space="preserve"> to this decision of the Board of Directors of the Company.</w:t>
            </w:r>
          </w:p>
        </w:tc>
      </w:tr>
      <w:tr w:rsidR="006C6E48" w:rsidRPr="006C6E48" w:rsidTr="0021781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Default="006C6E48" w:rsidP="00217814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6C6E48" w:rsidRDefault="006C6E48" w:rsidP="006C6E48">
            <w:pPr>
              <w:spacing w:line="252" w:lineRule="auto"/>
              <w:jc w:val="both"/>
              <w:rPr>
                <w:b/>
                <w:lang w:val="en-US" w:eastAsia="en-US"/>
              </w:rPr>
            </w:pPr>
            <w:r w:rsidRPr="006C6E48">
              <w:rPr>
                <w:b/>
                <w:color w:val="000000" w:themeColor="text1"/>
                <w:lang w:val="en-US" w:eastAsia="en-US"/>
              </w:rPr>
              <w:t>Item No.3 “</w:t>
            </w:r>
            <w:r w:rsidRPr="006C6E48">
              <w:rPr>
                <w:b/>
                <w:lang w:val="en-US" w:eastAsia="en-US"/>
              </w:rPr>
              <w:t>Approval of the Plan of development and improvement of internal audit of Kubanenergo PJSC.</w:t>
            </w:r>
          </w:p>
        </w:tc>
      </w:tr>
      <w:tr w:rsidR="006C6E48" w:rsidRPr="006C6E48" w:rsidTr="0021781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Pr="006C6E48" w:rsidRDefault="006C6E48" w:rsidP="00217814">
            <w:pPr>
              <w:jc w:val="both"/>
              <w:rPr>
                <w:color w:val="000000" w:themeColor="text1"/>
                <w:lang w:val="en-US" w:eastAsia="en-US"/>
              </w:rPr>
            </w:pPr>
            <w:r w:rsidRPr="006C6E48">
              <w:rPr>
                <w:color w:val="000000" w:themeColor="text1"/>
                <w:lang w:val="en-US" w:eastAsia="en-US"/>
              </w:rPr>
              <w:t>2.2.3.  Decision adopted by issuer’s Board of Directors:</w:t>
            </w:r>
          </w:p>
          <w:p w:rsidR="006C6E48" w:rsidRPr="006C6E48" w:rsidRDefault="006C6E48" w:rsidP="00217814">
            <w:pPr>
              <w:tabs>
                <w:tab w:val="left" w:pos="311"/>
                <w:tab w:val="left" w:pos="491"/>
              </w:tabs>
              <w:jc w:val="both"/>
              <w:rPr>
                <w:lang w:val="en-US" w:eastAsia="en-US"/>
              </w:rPr>
            </w:pPr>
            <w:r w:rsidRPr="006C6E48">
              <w:rPr>
                <w:lang w:val="en-US" w:eastAsia="en-US"/>
              </w:rPr>
              <w:lastRenderedPageBreak/>
              <w:t xml:space="preserve">To approve </w:t>
            </w:r>
            <w:r w:rsidRPr="006C6E48">
              <w:rPr>
                <w:lang w:val="en-US" w:eastAsia="en-US"/>
              </w:rPr>
              <w:t>the Plan of development and improvement of internal audit of Kubanenergo PJSC, in accordance with Appendix No.2</w:t>
            </w:r>
            <w:r w:rsidRPr="006C6E48">
              <w:rPr>
                <w:lang w:val="en-US" w:eastAsia="en-US"/>
              </w:rPr>
              <w:t>4</w:t>
            </w:r>
            <w:r w:rsidRPr="006C6E48">
              <w:rPr>
                <w:lang w:val="en-US" w:eastAsia="en-US"/>
              </w:rPr>
              <w:t xml:space="preserve"> to this decision of the Board of Directors of the Company.</w:t>
            </w:r>
          </w:p>
        </w:tc>
      </w:tr>
      <w:tr w:rsidR="006C6E48" w:rsidRPr="006C6E48" w:rsidTr="0021781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48" w:rsidRDefault="006C6E48" w:rsidP="006C6E48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lastRenderedPageBreak/>
              <w:t>Disclosure of insider information</w:t>
            </w:r>
          </w:p>
          <w:p w:rsidR="006C6E48" w:rsidRDefault="006C6E48" w:rsidP="006C6E48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</w:t>
            </w:r>
            <w:r>
              <w:rPr>
                <w:b/>
                <w:color w:val="000000" w:themeColor="text1"/>
                <w:lang w:val="en-US" w:eastAsia="en-US"/>
              </w:rPr>
              <w:t>4 “</w:t>
            </w:r>
            <w:r w:rsidRPr="003A3272">
              <w:rPr>
                <w:b/>
                <w:lang w:val="en-US" w:eastAsia="en-US"/>
              </w:rPr>
              <w:t>Discussion of the report submitted by the Director General of Kubanenergo PJSC on the Company’s Credit Policy in the 2</w:t>
            </w:r>
            <w:r w:rsidRPr="003A3272">
              <w:rPr>
                <w:b/>
                <w:vertAlign w:val="superscript"/>
                <w:lang w:val="en-US" w:eastAsia="en-US"/>
              </w:rPr>
              <w:t>nd</w:t>
            </w:r>
            <w:r w:rsidRPr="003A3272">
              <w:rPr>
                <w:b/>
                <w:lang w:val="en-US" w:eastAsia="en-US"/>
              </w:rPr>
              <w:t xml:space="preserve"> quarter of 2017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6C6E48" w:rsidRPr="006C6E48" w:rsidTr="0021781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48" w:rsidRPr="006C6E48" w:rsidRDefault="006C6E48" w:rsidP="006C6E48">
            <w:pPr>
              <w:jc w:val="both"/>
              <w:rPr>
                <w:color w:val="000000" w:themeColor="text1"/>
                <w:lang w:val="en-US" w:eastAsia="en-US"/>
              </w:rPr>
            </w:pPr>
            <w:r w:rsidRPr="006C6E48">
              <w:rPr>
                <w:color w:val="000000" w:themeColor="text1"/>
                <w:lang w:val="en-US" w:eastAsia="en-US"/>
              </w:rPr>
              <w:t>2.2.</w:t>
            </w:r>
            <w:r w:rsidRPr="006C6E48">
              <w:rPr>
                <w:color w:val="000000" w:themeColor="text1"/>
                <w:lang w:val="en-US" w:eastAsia="en-US"/>
              </w:rPr>
              <w:t>4</w:t>
            </w:r>
            <w:r w:rsidRPr="006C6E48"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6C6E48" w:rsidRDefault="006C6E48" w:rsidP="006C6E48">
            <w:pPr>
              <w:jc w:val="both"/>
              <w:rPr>
                <w:lang w:val="en-US" w:eastAsia="en-US"/>
              </w:rPr>
            </w:pPr>
            <w:r w:rsidRPr="006C6E48">
              <w:rPr>
                <w:color w:val="000000" w:themeColor="text1"/>
                <w:lang w:val="en-US" w:eastAsia="en-US"/>
              </w:rPr>
              <w:t xml:space="preserve">1. </w:t>
            </w:r>
            <w:r w:rsidRPr="006C6E48">
              <w:rPr>
                <w:lang w:val="en-US" w:eastAsia="en-US"/>
              </w:rPr>
              <w:t>To take into consideration the report submitted by the Director General of Kubanenergo PJSC on the Company’s Credit Policy in the 2</w:t>
            </w:r>
            <w:r w:rsidRPr="006C6E48">
              <w:rPr>
                <w:vertAlign w:val="superscript"/>
                <w:lang w:val="en-US" w:eastAsia="en-US"/>
              </w:rPr>
              <w:t>nd</w:t>
            </w:r>
            <w:r w:rsidRPr="006C6E48">
              <w:rPr>
                <w:lang w:val="en-US" w:eastAsia="en-US"/>
              </w:rPr>
              <w:t xml:space="preserve"> quarter of 2017, in accordance with Appendix No.</w:t>
            </w:r>
            <w:r w:rsidRPr="006C6E48">
              <w:rPr>
                <w:lang w:val="en-US" w:eastAsia="en-US"/>
              </w:rPr>
              <w:t>5</w:t>
            </w:r>
            <w:r w:rsidRPr="006C6E48">
              <w:rPr>
                <w:lang w:val="en-US" w:eastAsia="en-US"/>
              </w:rPr>
              <w:t xml:space="preserve"> to this decision of the Board of Directors of the Company.</w:t>
            </w:r>
          </w:p>
          <w:p w:rsidR="006C6E48" w:rsidRDefault="006C6E48" w:rsidP="006C6E48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2. Confidential</w:t>
            </w:r>
          </w:p>
          <w:p w:rsidR="006C6E48" w:rsidRDefault="006C6E48" w:rsidP="006C6E48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</w:t>
            </w:r>
            <w:r>
              <w:rPr>
                <w:lang w:val="en-US" w:eastAsia="en-US"/>
              </w:rPr>
              <w:t>Confidential</w:t>
            </w:r>
          </w:p>
          <w:p w:rsidR="006C6E48" w:rsidRDefault="006C6E48" w:rsidP="006C6E48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4. </w:t>
            </w:r>
            <w:r>
              <w:rPr>
                <w:lang w:val="en-US" w:eastAsia="en-US"/>
              </w:rPr>
              <w:t>Confidential</w:t>
            </w:r>
          </w:p>
          <w:p w:rsidR="006C6E48" w:rsidRPr="006C6E48" w:rsidRDefault="006C6E48" w:rsidP="006C6E48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lang w:val="en-US" w:eastAsia="en-US"/>
              </w:rPr>
              <w:t>5.</w:t>
            </w:r>
            <w:r w:rsidRPr="006C6E48">
              <w:rPr>
                <w:lang w:val="en-US"/>
              </w:rPr>
              <w:t xml:space="preserve"> </w:t>
            </w:r>
            <w:r w:rsidRPr="006C6E48">
              <w:rPr>
                <w:lang w:val="en-US" w:eastAsia="en-US"/>
              </w:rPr>
              <w:t>Instruct the General Director of the Company to ensure compliance with the requirements of the Regulations on Credit Policy approved by the Board of Directors of the Company.</w:t>
            </w:r>
          </w:p>
        </w:tc>
      </w:tr>
      <w:tr w:rsidR="006C6E48" w:rsidRPr="006C6E48" w:rsidTr="0021781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48" w:rsidRDefault="006C6E48" w:rsidP="006C6E48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6C6E48" w:rsidRDefault="006C6E48" w:rsidP="006C6E48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</w:t>
            </w:r>
            <w:r>
              <w:rPr>
                <w:b/>
                <w:color w:val="000000" w:themeColor="text1"/>
                <w:lang w:val="en-US" w:eastAsia="en-US"/>
              </w:rPr>
              <w:t>5 “</w:t>
            </w:r>
            <w:r w:rsidRPr="003A3272">
              <w:rPr>
                <w:b/>
                <w:lang w:val="en-US" w:eastAsia="en-US"/>
              </w:rPr>
              <w:t>Discussion of the report on implementation of the RAS-based business plan of Kubanenergo Group and IFRS-based business plan of Kubanenergo Group during the first six months of 2017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6C6E48" w:rsidRPr="006C6E48" w:rsidTr="0021781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48" w:rsidRDefault="006C6E48" w:rsidP="006C6E48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</w:t>
            </w:r>
            <w:r>
              <w:rPr>
                <w:color w:val="000000" w:themeColor="text1"/>
                <w:lang w:val="en-US" w:eastAsia="en-US"/>
              </w:rPr>
              <w:t>5</w:t>
            </w:r>
            <w:r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6C6E48" w:rsidRPr="006C6E48" w:rsidRDefault="006C6E48" w:rsidP="006C6E48">
            <w:pPr>
              <w:jc w:val="both"/>
              <w:rPr>
                <w:lang w:val="en-US" w:eastAsia="en-US"/>
              </w:rPr>
            </w:pPr>
            <w:r w:rsidRPr="006C6E48">
              <w:rPr>
                <w:lang w:val="en-US" w:eastAsia="en-US"/>
              </w:rPr>
              <w:t>To take into consideration</w:t>
            </w:r>
            <w:r w:rsidRPr="006C6E48">
              <w:rPr>
                <w:lang w:val="en-US" w:eastAsia="en-US"/>
              </w:rPr>
              <w:t xml:space="preserve"> </w:t>
            </w:r>
            <w:r w:rsidRPr="006C6E48">
              <w:rPr>
                <w:lang w:val="en-US" w:eastAsia="en-US"/>
              </w:rPr>
              <w:t>the report on implementation of the RAS-based business plan of Kubanenergo Group and IFRS-based business plan of Kubanenergo Group during the first six months of 2017, in accordance with Appendix</w:t>
            </w:r>
            <w:r>
              <w:rPr>
                <w:lang w:val="en-US" w:eastAsia="en-US"/>
              </w:rPr>
              <w:t>es</w:t>
            </w:r>
            <w:r w:rsidRPr="006C6E48">
              <w:rPr>
                <w:lang w:val="en-US" w:eastAsia="en-US"/>
              </w:rPr>
              <w:t xml:space="preserve"> No.</w:t>
            </w:r>
            <w:r>
              <w:rPr>
                <w:lang w:val="en-US" w:eastAsia="en-US"/>
              </w:rPr>
              <w:t xml:space="preserve">6-7 </w:t>
            </w:r>
            <w:bookmarkStart w:id="0" w:name="_GoBack"/>
            <w:bookmarkEnd w:id="0"/>
            <w:r w:rsidRPr="006C6E48">
              <w:rPr>
                <w:lang w:val="en-US" w:eastAsia="en-US"/>
              </w:rPr>
              <w:t>to this decision of the Board of Directors of the Company.</w:t>
            </w:r>
          </w:p>
        </w:tc>
      </w:tr>
      <w:tr w:rsidR="006C6E48" w:rsidRPr="006C6E48" w:rsidTr="00217814">
        <w:trPr>
          <w:trHeight w:val="18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48" w:rsidRDefault="006C6E48" w:rsidP="0021781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6C6E48" w:rsidRDefault="006C6E48" w:rsidP="00217814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24F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  <w:r w:rsidRPr="00624F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October 2017</w:t>
            </w:r>
          </w:p>
          <w:p w:rsidR="006C6E48" w:rsidRDefault="006C6E48" w:rsidP="006C6E48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>
              <w:rPr>
                <w:b/>
                <w:color w:val="000000" w:themeColor="text1"/>
                <w:lang w:val="en-US" w:eastAsia="en-US"/>
              </w:rPr>
              <w:t xml:space="preserve">3 </w:t>
            </w:r>
            <w:r>
              <w:rPr>
                <w:b/>
                <w:color w:val="000000" w:themeColor="text1"/>
                <w:lang w:val="en-US" w:eastAsia="en-US"/>
              </w:rPr>
              <w:t>November</w:t>
            </w:r>
            <w:r>
              <w:rPr>
                <w:b/>
                <w:color w:val="000000" w:themeColor="text1"/>
                <w:lang w:val="en-US" w:eastAsia="en-US"/>
              </w:rPr>
              <w:t xml:space="preserve"> 2017 minutes of meeting No.28</w:t>
            </w:r>
            <w:r>
              <w:rPr>
                <w:b/>
                <w:color w:val="000000" w:themeColor="text1"/>
                <w:lang w:val="en-US" w:eastAsia="en-US"/>
              </w:rPr>
              <w:t>8</w:t>
            </w:r>
            <w:r>
              <w:rPr>
                <w:b/>
                <w:color w:val="000000" w:themeColor="text1"/>
                <w:lang w:val="en-US" w:eastAsia="en-US"/>
              </w:rPr>
              <w:t>/2017.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9"/>
        <w:gridCol w:w="1984"/>
        <w:gridCol w:w="1730"/>
      </w:tblGrid>
      <w:tr w:rsidR="006C6E48" w:rsidTr="00217814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C6E48" w:rsidRDefault="006C6E48" w:rsidP="00217814">
            <w:pPr>
              <w:spacing w:line="252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3. Signature</w:t>
            </w:r>
          </w:p>
        </w:tc>
      </w:tr>
      <w:tr w:rsidR="006C6E48" w:rsidTr="00217814">
        <w:trPr>
          <w:cantSplit/>
          <w:trHeight w:val="1187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C6E48" w:rsidRDefault="006C6E48" w:rsidP="00217814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C6E48" w:rsidRDefault="006C6E48" w:rsidP="00217814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</w:t>
            </w:r>
          </w:p>
          <w:p w:rsidR="006C6E48" w:rsidRDefault="006C6E48" w:rsidP="00217814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C6E48" w:rsidRDefault="006C6E48" w:rsidP="00217814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Ivanova</w:t>
            </w:r>
            <w:proofErr w:type="spellEnd"/>
            <w:r>
              <w:rPr>
                <w:lang w:val="en-US" w:eastAsia="en-US"/>
              </w:rPr>
              <w:t xml:space="preserve"> I.V.</w:t>
            </w:r>
          </w:p>
          <w:p w:rsidR="006C6E48" w:rsidRDefault="006C6E48" w:rsidP="00217814">
            <w:pPr>
              <w:spacing w:line="252" w:lineRule="auto"/>
              <w:rPr>
                <w:lang w:val="en-US" w:eastAsia="en-US"/>
              </w:rPr>
            </w:pPr>
          </w:p>
        </w:tc>
      </w:tr>
      <w:tr w:rsidR="006C6E48" w:rsidTr="00217814">
        <w:trPr>
          <w:cantSplit/>
          <w:trHeight w:val="64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C6E48" w:rsidRDefault="006C6E48" w:rsidP="006C6E48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3 November</w:t>
            </w:r>
            <w:r>
              <w:rPr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C6E48" w:rsidRDefault="006C6E48" w:rsidP="00217814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C6E48" w:rsidRDefault="006C6E48" w:rsidP="00217814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6C6E48" w:rsidRDefault="006C6E48" w:rsidP="006C6E48"/>
    <w:p w:rsidR="006C6E48" w:rsidRDefault="006C6E48" w:rsidP="006C6E48"/>
    <w:p w:rsidR="006C6E48" w:rsidRDefault="006C6E48" w:rsidP="006C6E48"/>
    <w:p w:rsidR="006C6E48" w:rsidRDefault="006C6E48" w:rsidP="006C6E48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0E7422CD"/>
    <w:multiLevelType w:val="hybridMultilevel"/>
    <w:tmpl w:val="4600EFAA"/>
    <w:lvl w:ilvl="0" w:tplc="0AD028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48"/>
    <w:rsid w:val="0059029B"/>
    <w:rsid w:val="0062058F"/>
    <w:rsid w:val="006C6E48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524C"/>
  <w15:chartTrackingRefBased/>
  <w15:docId w15:val="{579494DB-F1F7-47D8-A4F1-04FE268B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6E48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6C6E48"/>
  </w:style>
  <w:style w:type="paragraph" w:styleId="a5">
    <w:name w:val="No Spacing"/>
    <w:link w:val="a4"/>
    <w:uiPriority w:val="1"/>
    <w:qFormat/>
    <w:rsid w:val="006C6E4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C6E48"/>
    <w:pPr>
      <w:ind w:left="720"/>
      <w:contextualSpacing/>
    </w:pPr>
  </w:style>
  <w:style w:type="paragraph" w:customStyle="1" w:styleId="Default">
    <w:name w:val="Default"/>
    <w:rsid w:val="006C6E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6C6E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677</Words>
  <Characters>3860</Characters>
  <Application>Microsoft Office Word</Application>
  <DocSecurity>0</DocSecurity>
  <Lines>32</Lines>
  <Paragraphs>9</Paragraphs>
  <ScaleCrop>false</ScaleCrop>
  <Company>Home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2017-11-13T00:00:00Z</dcterms:created>
  <dcterms:modified xsi:type="dcterms:W3CDTF">2017-11-13T00:10:00Z</dcterms:modified>
</cp:coreProperties>
</file>