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3B" w:rsidRPr="003817EA" w:rsidRDefault="00E65AF0" w:rsidP="0016503B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6503B" w:rsidRPr="003817EA">
        <w:rPr>
          <w:rFonts w:ascii="Times New Roman" w:hAnsi="Times New Roman" w:cs="Times New Roman"/>
          <w:b/>
          <w:sz w:val="24"/>
          <w:szCs w:val="24"/>
          <w:lang w:val="en-US"/>
        </w:rPr>
        <w:t>tatement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material fact</w:t>
      </w:r>
    </w:p>
    <w:p w:rsidR="0016503B" w:rsidRPr="003817EA" w:rsidRDefault="0016503B" w:rsidP="0016503B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“On disclosure of</w:t>
      </w:r>
      <w:r w:rsidRPr="001650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issuer’s quarterly report</w:t>
      </w:r>
      <w:r w:rsidR="00E65AF0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16503B" w:rsidRPr="003817EA" w:rsidRDefault="0016503B" w:rsidP="0016503B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16503B" w:rsidRPr="003817EA" w:rsidRDefault="0016503B" w:rsidP="0016503B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4077"/>
        <w:gridCol w:w="5847"/>
      </w:tblGrid>
      <w:tr w:rsidR="0016503B" w:rsidRPr="003817EA" w:rsidTr="0016503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6503B" w:rsidRPr="00E65AF0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E65AF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name of the issuer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(if a non-profit company – name)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1.2.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</w:t>
            </w:r>
            <w:r w:rsidR="00E65AF0" w:rsidRPr="003817EA">
              <w:rPr>
                <w:rFonts w:ascii="Times New Roman" w:hAnsi="Times New Roman"/>
                <w:sz w:val="24"/>
                <w:szCs w:val="24"/>
                <w:lang w:val="en-US"/>
              </w:rPr>
              <w:t>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E65AF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E65AF0" w:rsidRPr="003817EA">
              <w:rPr>
                <w:rFonts w:ascii="Times New Roman" w:hAnsi="Times New Roman"/>
                <w:sz w:val="24"/>
                <w:szCs w:val="24"/>
                <w:lang w:val="en-GB"/>
              </w:rPr>
              <w:t>issu</w:t>
            </w:r>
            <w:r w:rsidR="00E65AF0">
              <w:rPr>
                <w:rFonts w:ascii="Times New Roman" w:hAnsi="Times New Roman"/>
                <w:sz w:val="24"/>
                <w:szCs w:val="24"/>
                <w:lang w:val="en-GB"/>
              </w:rPr>
              <w:t>er</w:t>
            </w:r>
            <w:r w:rsidR="00E65AF0" w:rsidRPr="003817EA">
              <w:rPr>
                <w:rFonts w:ascii="Times New Roman" w:hAnsi="Times New Roman"/>
                <w:sz w:val="24"/>
                <w:szCs w:val="24"/>
                <w:lang w:val="en-GB"/>
              </w:rPr>
              <w:t>’s</w:t>
            </w: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3817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6503B" w:rsidRPr="00E65AF0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E65AF0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</w:t>
            </w:r>
            <w:r w:rsidR="00E65A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used by the issuer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F0" w:rsidRPr="00E65AF0" w:rsidRDefault="00E65AF0" w:rsidP="00E65AF0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  <w:hyperlink r:id="rId5" w:history="1">
              <w:r w:rsidRPr="00E65AF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http://www.kubanenergo.ru</w:t>
              </w:r>
            </w:hyperlink>
          </w:p>
          <w:p w:rsidR="0016503B" w:rsidRPr="00E65AF0" w:rsidRDefault="00E65AF0" w:rsidP="003C082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  <w:hyperlink r:id="rId6" w:history="1">
              <w:r w:rsidRPr="00E65AF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http://www.e-disclosure.ru/portal/company.aspx?id=2827</w:t>
              </w:r>
            </w:hyperlink>
            <w:r w:rsidR="0016503B" w:rsidRPr="00E65A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16503B" w:rsidRPr="003817EA" w:rsidTr="0016503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16503B" w:rsidRPr="00E65AF0" w:rsidTr="0016503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Type of the document disclosed by the issuer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uarterly report of the issuer</w:t>
            </w:r>
          </w:p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The reporting period for which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document disclosed by the issuer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prepared: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="00E65A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65AF0" w:rsidRPr="00E65AF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 w:rsidR="00E65A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quarter of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document was publish at: </w:t>
            </w:r>
          </w:p>
          <w:p w:rsidR="00E65AF0" w:rsidRDefault="00E65AF0" w:rsidP="003C082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hyperlink r:id="rId7" w:history="1">
              <w:r w:rsidRPr="000A4D0E">
                <w:rPr>
                  <w:rStyle w:val="a3"/>
                  <w:sz w:val="24"/>
                  <w:szCs w:val="24"/>
                  <w:lang w:val="en-US"/>
                </w:rPr>
                <w:t>http://www.kubanenergo.ru</w:t>
              </w:r>
            </w:hyperlink>
          </w:p>
          <w:p w:rsidR="0016503B" w:rsidRPr="003817EA" w:rsidRDefault="00E65AF0" w:rsidP="003C082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16503B" w:rsidRPr="003817EA">
                <w:rPr>
                  <w:rStyle w:val="a3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placing the report at website: </w:t>
            </w:r>
            <w:r w:rsidR="00E65A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 Procedure of providing the interested parties with the copies of the document: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Copies of the quarterly report of “Kubanenergo” PJSC are handed out upon the request of interested parties in accordance with paragraphs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91 of Federal law “On joint stock companies” and paragraph 26 of the Charter, for the fee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 exceeding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expenses for preparation of such copies. </w:t>
            </w:r>
          </w:p>
        </w:tc>
      </w:tr>
    </w:tbl>
    <w:tbl>
      <w:tblPr>
        <w:tblW w:w="99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2576"/>
        <w:gridCol w:w="1933"/>
      </w:tblGrid>
      <w:tr w:rsidR="0016503B" w:rsidRPr="003817EA" w:rsidTr="0016503B">
        <w:trPr>
          <w:cantSplit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503B" w:rsidRPr="003817EA" w:rsidRDefault="0016503B" w:rsidP="003C0827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6503B" w:rsidRPr="003817EA" w:rsidTr="0016503B">
        <w:trPr>
          <w:cantSplit/>
          <w:trHeight w:val="1187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pStyle w:val="Default"/>
              <w:rPr>
                <w:lang w:val="en-US"/>
              </w:rPr>
            </w:pPr>
            <w:r w:rsidRPr="003817EA">
              <w:rPr>
                <w:lang w:val="en-US"/>
              </w:rPr>
              <w:t>3.1 Deputy Director General in charge of Corporate Governance</w:t>
            </w:r>
            <w:r>
              <w:rPr>
                <w:lang w:val="en-US"/>
              </w:rPr>
              <w:t xml:space="preserve"> of Kubanenergo </w:t>
            </w:r>
            <w:bookmarkStart w:id="0" w:name="_GoBack"/>
            <w:bookmarkEnd w:id="0"/>
            <w:r>
              <w:rPr>
                <w:lang w:val="en-US"/>
              </w:rPr>
              <w:t>PJSC</w:t>
            </w:r>
            <w:r w:rsidRPr="003817EA">
              <w:rPr>
                <w:lang w:val="en-US"/>
              </w:rPr>
              <w:t xml:space="preserve"> (by power of attorney No. </w:t>
            </w:r>
            <w:r>
              <w:rPr>
                <w:lang w:val="en-US"/>
              </w:rPr>
              <w:t>2-1879</w:t>
            </w:r>
            <w:r w:rsidRPr="003817EA"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15.12.2016</w:t>
            </w:r>
            <w:r w:rsidRPr="003817EA">
              <w:rPr>
                <w:lang w:val="en-US"/>
              </w:rPr>
              <w:t>)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16503B" w:rsidRPr="003817EA" w:rsidRDefault="0016503B" w:rsidP="003C0827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6503B" w:rsidRPr="003817EA" w:rsidTr="0016503B">
        <w:trPr>
          <w:cantSplit/>
          <w:trHeight w:val="501"/>
        </w:trPr>
        <w:tc>
          <w:tcPr>
            <w:tcW w:w="5448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6503B" w:rsidRPr="003817EA" w:rsidRDefault="0016503B" w:rsidP="00E65A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E65AF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 August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1933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6503B" w:rsidRPr="003817EA" w:rsidRDefault="0016503B" w:rsidP="0016503B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6503B" w:rsidRPr="003817EA" w:rsidRDefault="0016503B" w:rsidP="00165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3B"/>
    <w:rsid w:val="0016503B"/>
    <w:rsid w:val="0059029B"/>
    <w:rsid w:val="0062058F"/>
    <w:rsid w:val="00D956FD"/>
    <w:rsid w:val="00E6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6CC5"/>
  <w15:chartTrackingRefBased/>
  <w15:docId w15:val="{13E39716-A720-433C-9E29-A701BEA7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03B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16503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650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Company>Home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2017-05-15T14:24:00Z</dcterms:created>
  <dcterms:modified xsi:type="dcterms:W3CDTF">2017-08-15T23:05:00Z</dcterms:modified>
</cp:coreProperties>
</file>