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A6" w:rsidRPr="00864BA6" w:rsidRDefault="00864BA6" w:rsidP="00864BA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864BA6" w:rsidRDefault="00864BA6" w:rsidP="00864BA6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864BA6" w:rsidRDefault="00864BA6" w:rsidP="00864BA6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864BA6" w:rsidRPr="00864BA6" w:rsidTr="0013540E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13540E" w:rsidRDefault="00864BA6" w:rsidP="0013540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1.1 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ull name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864BA6" w:rsidTr="001354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13540E" w:rsidRDefault="00864BA6" w:rsidP="0013540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1.2.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bbreviated name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864BA6" w:rsidRPr="0013540E" w:rsidTr="001354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13540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1.3.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ocation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864BA6" w:rsidRPr="0013540E" w:rsidTr="001354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13540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PSRN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13540E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864BA6" w:rsidRPr="0013540E" w:rsidTr="0013540E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13540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TIN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13540E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864BA6" w:rsidTr="001354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864BA6" w:rsidRPr="00864BA6" w:rsidTr="0013540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13540E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 w:rsid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Pr="00DF15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864BA6" w:rsidTr="00F713D3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A6" w:rsidRDefault="00864BA6" w:rsidP="00F713D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2.1 Quorum of meeting of the issuer’s BoD and </w:t>
            </w:r>
            <w:r w:rsidR="0013540E">
              <w:rPr>
                <w:b/>
                <w:color w:val="000000" w:themeColor="text1"/>
                <w:lang w:val="en-US" w:eastAsia="en-US"/>
              </w:rPr>
              <w:t xml:space="preserve">the </w:t>
            </w:r>
            <w:r>
              <w:rPr>
                <w:b/>
                <w:color w:val="000000" w:themeColor="text1"/>
                <w:lang w:val="en-US" w:eastAsia="en-US"/>
              </w:rPr>
              <w:t xml:space="preserve">results of voting on the </w:t>
            </w:r>
            <w:r w:rsidR="0013540E">
              <w:rPr>
                <w:b/>
                <w:color w:val="000000" w:themeColor="text1"/>
                <w:lang w:val="en-US" w:eastAsia="en-US"/>
              </w:rPr>
              <w:t>proposed</w:t>
            </w:r>
            <w:r>
              <w:rPr>
                <w:b/>
                <w:color w:val="000000" w:themeColor="text1"/>
                <w:lang w:val="en-US" w:eastAsia="en-US"/>
              </w:rPr>
              <w:t xml:space="preserve"> decisions:</w:t>
            </w:r>
          </w:p>
          <w:p w:rsidR="00864BA6" w:rsidRDefault="00864BA6" w:rsidP="00F713D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864BA6" w:rsidRDefault="00864BA6" w:rsidP="00F713D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</w:t>
            </w:r>
            <w:r w:rsidRPr="00977F7F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864BA6" w:rsidRDefault="00864BA6" w:rsidP="00F713D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864BA6" w:rsidRDefault="00864BA6" w:rsidP="00F713D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864BA6" w:rsidTr="00F713D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4BA6" w:rsidRDefault="00864BA6" w:rsidP="00F713D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864BA6" w:rsidTr="00F713D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4BA6" w:rsidRDefault="00864BA6" w:rsidP="00F713D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864BA6" w:rsidTr="00F713D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64BA6" w:rsidTr="00F713D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64BA6" w:rsidRDefault="00864BA6" w:rsidP="00F713D3">
                  <w:pPr>
                    <w:jc w:val="center"/>
                  </w:pPr>
                  <w:r w:rsidRPr="003E0AC5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64BA6" w:rsidTr="00F713D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64BA6" w:rsidRDefault="00864BA6" w:rsidP="00F713D3">
                  <w:pPr>
                    <w:jc w:val="center"/>
                  </w:pPr>
                  <w:r w:rsidRPr="003E0AC5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64BA6" w:rsidTr="00F713D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864BA6" w:rsidRDefault="00864BA6" w:rsidP="00F713D3">
                  <w:pPr>
                    <w:jc w:val="center"/>
                  </w:pPr>
                  <w:r w:rsidRPr="003E0AC5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BA6" w:rsidRDefault="00864BA6" w:rsidP="00F713D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64BA6" w:rsidRDefault="00864BA6" w:rsidP="00F713D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864BA6" w:rsidRDefault="00864BA6" w:rsidP="0013540E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="0013540E" w:rsidRPr="0013540E">
              <w:rPr>
                <w:b/>
                <w:lang w:val="en-US" w:eastAsia="en-US"/>
              </w:rPr>
              <w:t>Approval of working schedule of the Board of Directors of Kubanenergo PJSC for the 2</w:t>
            </w:r>
            <w:r w:rsidR="0013540E" w:rsidRPr="0013540E">
              <w:rPr>
                <w:b/>
                <w:vertAlign w:val="superscript"/>
                <w:lang w:val="en-US" w:eastAsia="en-US"/>
              </w:rPr>
              <w:t>nd</w:t>
            </w:r>
            <w:r w:rsidR="0013540E" w:rsidRPr="0013540E">
              <w:rPr>
                <w:b/>
                <w:lang w:val="en-US" w:eastAsia="en-US"/>
              </w:rPr>
              <w:t xml:space="preserve"> half of 2017 – 1</w:t>
            </w:r>
            <w:r w:rsidR="0013540E" w:rsidRPr="0013540E">
              <w:rPr>
                <w:b/>
                <w:vertAlign w:val="superscript"/>
                <w:lang w:val="en-US" w:eastAsia="en-US"/>
              </w:rPr>
              <w:t>st</w:t>
            </w:r>
            <w:r w:rsidR="0013540E" w:rsidRPr="0013540E">
              <w:rPr>
                <w:b/>
                <w:lang w:val="en-US" w:eastAsia="en-US"/>
              </w:rPr>
              <w:t xml:space="preserve"> half of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864BA6" w:rsidRPr="002A6B9C" w:rsidRDefault="0013540E" w:rsidP="0013540E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approve</w:t>
            </w:r>
            <w:r w:rsidRPr="0013540E">
              <w:rPr>
                <w:color w:val="000000" w:themeColor="text1"/>
                <w:lang w:val="en-US" w:eastAsia="en-US"/>
              </w:rPr>
              <w:t xml:space="preserve"> the W</w:t>
            </w:r>
            <w:r w:rsidRPr="0013540E">
              <w:rPr>
                <w:lang w:val="en-US" w:eastAsia="en-US"/>
              </w:rPr>
              <w:t>orking schedule of the Board of Directors of Kubanenergo PJSC for the 2</w:t>
            </w:r>
            <w:r w:rsidRPr="0013540E">
              <w:rPr>
                <w:vertAlign w:val="superscript"/>
                <w:lang w:val="en-US" w:eastAsia="en-US"/>
              </w:rPr>
              <w:t>nd</w:t>
            </w:r>
            <w:r w:rsidRPr="0013540E">
              <w:rPr>
                <w:lang w:val="en-US" w:eastAsia="en-US"/>
              </w:rPr>
              <w:t xml:space="preserve"> half of 2017 – 1</w:t>
            </w:r>
            <w:r w:rsidRPr="0013540E">
              <w:rPr>
                <w:vertAlign w:val="superscript"/>
                <w:lang w:val="en-US" w:eastAsia="en-US"/>
              </w:rPr>
              <w:t>st</w:t>
            </w:r>
            <w:r w:rsidRPr="0013540E">
              <w:rPr>
                <w:lang w:val="en-US" w:eastAsia="en-US"/>
              </w:rPr>
              <w:t xml:space="preserve"> half of 2018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en-US" w:eastAsia="en-US"/>
              </w:rPr>
              <w:t>in accordance with Appendix No.1</w:t>
            </w:r>
            <w:r w:rsidRPr="00EA719B">
              <w:rPr>
                <w:lang w:val="en-US" w:eastAsia="en-US"/>
              </w:rPr>
              <w:t xml:space="preserve"> to this decision of the Board of Directors of the Company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864BA6" w:rsidRDefault="00864BA6" w:rsidP="00F713D3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="0013540E" w:rsidRPr="00E40040">
              <w:rPr>
                <w:b/>
                <w:lang w:val="en-US" w:eastAsia="en-US"/>
              </w:rPr>
              <w:t>Approval of contract on inviting a specialist (expert) to the Auditing Commission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D6442F" w:rsidRDefault="00864BA6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 w:rsidRPr="00D6442F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864BA6" w:rsidRPr="00D6442F" w:rsidRDefault="0013540E" w:rsidP="0013540E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 approve conditions of a contract with </w:t>
            </w:r>
            <w:proofErr w:type="spellStart"/>
            <w:r>
              <w:rPr>
                <w:lang w:val="en-US" w:eastAsia="en-US"/>
              </w:rPr>
              <w:t>Aksyonov</w:t>
            </w:r>
            <w:proofErr w:type="spellEnd"/>
            <w:r>
              <w:rPr>
                <w:lang w:val="en-US" w:eastAsia="en-US"/>
              </w:rPr>
              <w:t xml:space="preserve"> Pavel </w:t>
            </w:r>
            <w:proofErr w:type="spellStart"/>
            <w:r>
              <w:rPr>
                <w:lang w:val="en-US" w:eastAsia="en-US"/>
              </w:rPr>
              <w:t>Vyacheslavovich</w:t>
            </w:r>
            <w:proofErr w:type="spellEnd"/>
            <w:r>
              <w:rPr>
                <w:lang w:val="en-US" w:eastAsia="en-US"/>
              </w:rPr>
              <w:t xml:space="preserve"> – an expert (specialist) invited by the Auditing Commission to conduct audit of business activity of Kubanenergo PJSC in 2016,  </w:t>
            </w:r>
            <w:r w:rsidR="00864BA6">
              <w:rPr>
                <w:lang w:val="en-US" w:eastAsia="en-US"/>
              </w:rPr>
              <w:t>in accordance with Appendix No.</w:t>
            </w:r>
            <w:r>
              <w:rPr>
                <w:lang w:val="en-US" w:eastAsia="en-US"/>
              </w:rPr>
              <w:t>2</w:t>
            </w:r>
            <w:r w:rsidR="00864BA6" w:rsidRPr="00EA719B"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864BA6" w:rsidRDefault="00864BA6" w:rsidP="00F713D3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No.3 </w:t>
            </w:r>
            <w:r w:rsidRPr="00AC55C3">
              <w:rPr>
                <w:color w:val="000000" w:themeColor="text1"/>
                <w:lang w:val="en-US" w:eastAsia="en-US"/>
              </w:rPr>
              <w:t>“</w:t>
            </w:r>
            <w:r w:rsidR="0013540E" w:rsidRPr="00E40040">
              <w:rPr>
                <w:b/>
                <w:lang w:val="en-US" w:eastAsia="en-US"/>
              </w:rPr>
              <w:t>Approval of the plan of activities of Kubanenergo PJSC on implementation of the Environmental programme of the gird complex in 2017-2019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5839D1" w:rsidRDefault="00864BA6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 w:rsidRPr="005839D1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864BA6" w:rsidRPr="005839D1" w:rsidRDefault="0013540E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postpone the discussion to a later date.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Default="00864BA6" w:rsidP="00F713D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864BA6" w:rsidRDefault="00864BA6" w:rsidP="0013540E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 Item No.4 “</w:t>
            </w:r>
            <w:r w:rsidR="0013540E" w:rsidRPr="00020148">
              <w:rPr>
                <w:b/>
                <w:lang w:val="en-US" w:eastAsia="en-US"/>
              </w:rPr>
              <w:t>Approval of report on implementation of RAS based consolidated business plan of Kubanenergo Group in the 1</w:t>
            </w:r>
            <w:r w:rsidR="0013540E" w:rsidRPr="00020148">
              <w:rPr>
                <w:b/>
                <w:vertAlign w:val="superscript"/>
                <w:lang w:val="en-US" w:eastAsia="en-US"/>
              </w:rPr>
              <w:t>st</w:t>
            </w:r>
            <w:r w:rsidR="0013540E" w:rsidRPr="00020148">
              <w:rPr>
                <w:b/>
                <w:lang w:val="en-US" w:eastAsia="en-US"/>
              </w:rPr>
              <w:t xml:space="preserve"> quarter of 2017 and  report on implementation of IFRS based consolidated business plan of Kubanenergo Group in the 1</w:t>
            </w:r>
            <w:r w:rsidR="0013540E" w:rsidRPr="00020148">
              <w:rPr>
                <w:b/>
                <w:vertAlign w:val="superscript"/>
                <w:lang w:val="en-US" w:eastAsia="en-US"/>
              </w:rPr>
              <w:t>st</w:t>
            </w:r>
            <w:r w:rsidR="0013540E" w:rsidRPr="00020148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864BA6" w:rsidRPr="00864BA6" w:rsidTr="00F713D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BA6" w:rsidRPr="0013540E" w:rsidRDefault="00864BA6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 w:rsidRPr="0013540E">
              <w:rPr>
                <w:color w:val="000000" w:themeColor="text1"/>
                <w:lang w:val="en-US" w:eastAsia="en-US"/>
              </w:rPr>
              <w:lastRenderedPageBreak/>
              <w:t>2.2.4.  Decision adopted by issuer’s Board of Directors:</w:t>
            </w:r>
          </w:p>
          <w:p w:rsidR="00864BA6" w:rsidRPr="0013540E" w:rsidRDefault="0013540E" w:rsidP="00F713D3">
            <w:pPr>
              <w:jc w:val="both"/>
              <w:rPr>
                <w:color w:val="000000" w:themeColor="text1"/>
                <w:lang w:val="en-US" w:eastAsia="en-US"/>
              </w:rPr>
            </w:pPr>
            <w:r w:rsidRPr="0013540E">
              <w:rPr>
                <w:color w:val="000000" w:themeColor="text1"/>
                <w:lang w:val="en-US" w:eastAsia="en-US"/>
              </w:rPr>
              <w:t xml:space="preserve">To take into consideration the </w:t>
            </w:r>
            <w:r w:rsidRPr="0013540E">
              <w:rPr>
                <w:lang w:val="en-US" w:eastAsia="en-US"/>
              </w:rPr>
              <w:t>report on implementation of RAS based consolidated business plan of Kubanenergo Group in the 1</w:t>
            </w:r>
            <w:r w:rsidRPr="0013540E">
              <w:rPr>
                <w:vertAlign w:val="superscript"/>
                <w:lang w:val="en-US" w:eastAsia="en-US"/>
              </w:rPr>
              <w:t>st</w:t>
            </w:r>
            <w:r w:rsidRPr="0013540E">
              <w:rPr>
                <w:lang w:val="en-US" w:eastAsia="en-US"/>
              </w:rPr>
              <w:t xml:space="preserve"> quarter of 2017 and  report on implementation of IFRS based consolidated business plan of Kubanenergo Group in the 1</w:t>
            </w:r>
            <w:r w:rsidRPr="0013540E">
              <w:rPr>
                <w:vertAlign w:val="superscript"/>
                <w:lang w:val="en-US" w:eastAsia="en-US"/>
              </w:rPr>
              <w:t>st</w:t>
            </w:r>
            <w:r w:rsidRPr="0013540E">
              <w:rPr>
                <w:lang w:val="en-US" w:eastAsia="en-US"/>
              </w:rPr>
              <w:t xml:space="preserve"> quarter of 2017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en-US" w:eastAsia="en-US"/>
              </w:rPr>
              <w:t>in accordance with Appendix</w:t>
            </w:r>
            <w:r>
              <w:rPr>
                <w:lang w:val="en-US" w:eastAsia="en-US"/>
              </w:rPr>
              <w:t>es</w:t>
            </w:r>
            <w:r>
              <w:rPr>
                <w:lang w:val="en-US" w:eastAsia="en-US"/>
              </w:rPr>
              <w:t xml:space="preserve"> No.</w:t>
            </w:r>
            <w:r>
              <w:rPr>
                <w:lang w:val="en-US" w:eastAsia="en-US"/>
              </w:rPr>
              <w:t>3-4</w:t>
            </w:r>
            <w:r w:rsidRPr="00EA719B">
              <w:rPr>
                <w:lang w:val="en-US" w:eastAsia="en-US"/>
              </w:rPr>
              <w:t xml:space="preserve"> to this decision of the Board of Directors of the Company.</w:t>
            </w:r>
          </w:p>
        </w:tc>
      </w:tr>
      <w:tr w:rsidR="00864BA6" w:rsidRPr="00864BA6" w:rsidTr="00F713D3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0E" w:rsidRDefault="00864BA6" w:rsidP="00F713D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864BA6" w:rsidRDefault="0013540E" w:rsidP="00F713D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31 July</w:t>
            </w:r>
            <w:r w:rsidR="00864B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864BA6" w:rsidRDefault="00864BA6" w:rsidP="0013540E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/>
              </w:rPr>
              <w:t xml:space="preserve">2.4. Date of making and number of minutes of meeting which adopted the resolutions: </w:t>
            </w:r>
            <w:r w:rsidR="0013540E">
              <w:rPr>
                <w:b/>
                <w:color w:val="000000" w:themeColor="text1"/>
                <w:lang w:val="en-US"/>
              </w:rPr>
              <w:t>3 August 2017</w:t>
            </w:r>
            <w:r>
              <w:rPr>
                <w:b/>
                <w:color w:val="000000" w:themeColor="text1"/>
                <w:lang w:val="en-US"/>
              </w:rPr>
              <w:t xml:space="preserve"> minutes of meeting No.2</w:t>
            </w:r>
            <w:r w:rsidR="0013540E">
              <w:rPr>
                <w:b/>
                <w:color w:val="000000" w:themeColor="text1"/>
                <w:lang w:val="en-US"/>
              </w:rPr>
              <w:t>83</w:t>
            </w:r>
            <w:r>
              <w:rPr>
                <w:b/>
                <w:color w:val="000000" w:themeColor="text1"/>
                <w:lang w:val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864BA6" w:rsidTr="0013540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64BA6" w:rsidRPr="00F15619" w:rsidRDefault="00864BA6" w:rsidP="00F713D3">
            <w:pPr>
              <w:spacing w:line="254" w:lineRule="auto"/>
              <w:jc w:val="center"/>
              <w:rPr>
                <w:color w:val="000000" w:themeColor="text1"/>
                <w:lang w:val="en-US" w:eastAsia="en-US"/>
              </w:rPr>
            </w:pPr>
            <w:r w:rsidRPr="00F15619"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864BA6" w:rsidTr="0013540E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64BA6" w:rsidRDefault="00864BA6" w:rsidP="00F713D3">
            <w:pPr>
              <w:pStyle w:val="Default"/>
              <w:spacing w:line="254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Head of Corporate Governance and Shareholders Relations Department (by 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64BA6" w:rsidRDefault="00864BA6" w:rsidP="00F713D3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864BA6" w:rsidRDefault="00864BA6" w:rsidP="00F713D3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64BA6" w:rsidRPr="00F15619" w:rsidRDefault="00864BA6" w:rsidP="00F713D3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 w:rsidRPr="00F15619">
              <w:rPr>
                <w:color w:val="000000" w:themeColor="text1"/>
                <w:lang w:val="en-US" w:eastAsia="en-US"/>
              </w:rPr>
              <w:t>Didenko</w:t>
            </w:r>
            <w:proofErr w:type="spellEnd"/>
            <w:r w:rsidRPr="00F15619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F15619">
              <w:rPr>
                <w:color w:val="000000" w:themeColor="text1"/>
                <w:lang w:val="en-US" w:eastAsia="en-US"/>
              </w:rPr>
              <w:t>Ye.Ye</w:t>
            </w:r>
            <w:proofErr w:type="spellEnd"/>
            <w:r w:rsidRPr="00F15619">
              <w:rPr>
                <w:color w:val="000000" w:themeColor="text1"/>
                <w:lang w:val="en-US" w:eastAsia="en-US"/>
              </w:rPr>
              <w:t>.</w:t>
            </w:r>
          </w:p>
          <w:p w:rsidR="00864BA6" w:rsidRDefault="00864BA6" w:rsidP="00F713D3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864BA6" w:rsidTr="0013540E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64BA6" w:rsidRPr="00F15619" w:rsidRDefault="00864BA6" w:rsidP="0013540E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 w:rsidRPr="00F15619">
              <w:rPr>
                <w:color w:val="000000" w:themeColor="text1"/>
                <w:lang w:val="en-US" w:eastAsia="en-US"/>
              </w:rPr>
              <w:t xml:space="preserve">3.2 Date: </w:t>
            </w:r>
            <w:r w:rsidR="0013540E">
              <w:rPr>
                <w:color w:val="000000" w:themeColor="text1"/>
                <w:lang w:val="en-US" w:eastAsia="en-US"/>
              </w:rPr>
              <w:t>4 August</w:t>
            </w:r>
            <w:r w:rsidRPr="00F15619"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64BA6" w:rsidRDefault="00864BA6" w:rsidP="00F713D3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64BA6" w:rsidRDefault="00864BA6" w:rsidP="00F713D3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864BA6" w:rsidRDefault="00864BA6" w:rsidP="00864BA6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1E1F4688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A6"/>
    <w:rsid w:val="0013540E"/>
    <w:rsid w:val="0059029B"/>
    <w:rsid w:val="0062058F"/>
    <w:rsid w:val="00864BA6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1781"/>
  <w15:chartTrackingRefBased/>
  <w15:docId w15:val="{F500F5A3-00E9-4FE2-B1E3-5F5FED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BA6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64BA6"/>
  </w:style>
  <w:style w:type="paragraph" w:styleId="a5">
    <w:name w:val="No Spacing"/>
    <w:link w:val="a4"/>
    <w:uiPriority w:val="1"/>
    <w:qFormat/>
    <w:rsid w:val="00864B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64BA6"/>
    <w:pPr>
      <w:ind w:left="720"/>
      <w:contextualSpacing/>
    </w:pPr>
  </w:style>
  <w:style w:type="paragraph" w:customStyle="1" w:styleId="Default">
    <w:name w:val="Default"/>
    <w:rsid w:val="00864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64B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2017-08-05T16:39:00Z</dcterms:created>
  <dcterms:modified xsi:type="dcterms:W3CDTF">2017-08-05T17:05:00Z</dcterms:modified>
</cp:coreProperties>
</file>