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6C" w:rsidRDefault="00544B6C" w:rsidP="00544B6C">
      <w:pPr>
        <w:pStyle w:val="a5"/>
        <w:ind w:right="14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6462C0">
        <w:rPr>
          <w:rFonts w:ascii="Times New Roman" w:hAnsi="Times New Roman"/>
          <w:b/>
          <w:bCs/>
          <w:sz w:val="24"/>
          <w:szCs w:val="24"/>
          <w:lang w:val="en-US"/>
        </w:rPr>
        <w:t xml:space="preserve">tatement on refutation or correction of information previously published in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the </w:t>
      </w:r>
      <w:r w:rsidRPr="006462C0">
        <w:rPr>
          <w:rFonts w:ascii="Times New Roman" w:hAnsi="Times New Roman"/>
          <w:b/>
          <w:bCs/>
          <w:sz w:val="24"/>
          <w:szCs w:val="24"/>
          <w:lang w:val="en-US"/>
        </w:rPr>
        <w:t>news</w:t>
      </w:r>
    </w:p>
    <w:p w:rsidR="00544B6C" w:rsidRDefault="00544B6C" w:rsidP="00544B6C">
      <w:pPr>
        <w:pStyle w:val="a5"/>
        <w:ind w:right="1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Public joint stock company of power industry and electrification of Kuban informs that the statement earlier published in the news of Interfax agency (</w:t>
      </w:r>
      <w:r>
        <w:rPr>
          <w:rFonts w:ascii="Times New Roman" w:hAnsi="Times New Roman"/>
          <w:sz w:val="24"/>
          <w:szCs w:val="24"/>
          <w:lang w:val="en-US"/>
        </w:rPr>
        <w:t>24.07.2017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8:59</w:t>
      </w:r>
      <w:r>
        <w:rPr>
          <w:rFonts w:ascii="Times New Roman" w:hAnsi="Times New Roman"/>
          <w:sz w:val="24"/>
          <w:szCs w:val="24"/>
          <w:lang w:val="en-US"/>
        </w:rPr>
        <w:t xml:space="preserve"> a.m.) </w:t>
      </w:r>
      <w:r w:rsidRPr="00544B6C">
        <w:rPr>
          <w:rFonts w:ascii="Times New Roman" w:hAnsi="Times New Roman"/>
          <w:sz w:val="24"/>
          <w:szCs w:val="24"/>
          <w:lang w:val="en-US"/>
        </w:rPr>
        <w:t>Statement of material fact “On decisions adopted by the Issuer’s Board of Directors” (disclosure of inside information)</w:t>
      </w:r>
      <w:r>
        <w:rPr>
          <w:rFonts w:ascii="Times New Roman" w:hAnsi="Times New Roman"/>
          <w:sz w:val="24"/>
          <w:szCs w:val="24"/>
          <w:lang w:val="en-US"/>
        </w:rPr>
        <w:t xml:space="preserve"> contains clerical errors in paragraph </w:t>
      </w:r>
      <w:r w:rsidRPr="00DA278B">
        <w:rPr>
          <w:rFonts w:ascii="Times New Roman" w:hAnsi="Times New Roman"/>
          <w:lang w:val="en-US"/>
        </w:rPr>
        <w:t>2.</w:t>
      </w: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lang w:val="en-US"/>
        </w:rPr>
        <w:t xml:space="preserve">. Below is the correct text of the statement: </w:t>
      </w:r>
    </w:p>
    <w:p w:rsidR="00544B6C" w:rsidRPr="00864BA6" w:rsidRDefault="00544B6C" w:rsidP="00544B6C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544B6C" w:rsidRDefault="00544B6C" w:rsidP="00544B6C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544B6C" w:rsidRDefault="00544B6C" w:rsidP="00544B6C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3515"/>
        <w:gridCol w:w="6124"/>
      </w:tblGrid>
      <w:tr w:rsid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4025C8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544B6C" w:rsidRPr="00544B6C" w:rsidTr="004025C8">
        <w:trPr>
          <w:trHeight w:val="599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Pr="0013540E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1.1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Full name of the issuer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544B6C" w:rsidTr="004025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Pr="0013540E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Abbreviated name of the issuer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544B6C" w:rsidTr="004025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544B6C" w:rsidTr="004025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PSRN of the issuer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544B6C" w:rsidTr="004025C8">
        <w:trPr>
          <w:trHeight w:val="521"/>
        </w:trPr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5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TIN of the issuer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544B6C" w:rsidTr="004025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544B6C" w:rsidRPr="00544B6C" w:rsidTr="004025C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of information 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4B6C" w:rsidRDefault="00544B6C" w:rsidP="00544B6C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4025C8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544B6C" w:rsidTr="004025C8">
        <w:trPr>
          <w:trHeight w:val="142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Default="00544B6C" w:rsidP="004025C8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2.1 Quorum of meeting of the issuer’s BoD and results of voting on the adopted decisions:</w:t>
            </w:r>
          </w:p>
          <w:p w:rsidR="00544B6C" w:rsidRDefault="00544B6C" w:rsidP="004025C8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544B6C" w:rsidRDefault="00544B6C" w:rsidP="004025C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544B6C" w:rsidRDefault="00544B6C" w:rsidP="004025C8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544B6C" w:rsidRDefault="00544B6C" w:rsidP="004025C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p w:rsidR="00544B6C" w:rsidRDefault="00544B6C" w:rsidP="004025C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tbl>
            <w:tblPr>
              <w:tblStyle w:val="a7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544B6C" w:rsidTr="00544B6C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B6C" w:rsidRDefault="00544B6C" w:rsidP="004025C8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B6C" w:rsidRDefault="00544B6C" w:rsidP="004025C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544B6C" w:rsidTr="00544B6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4B6C" w:rsidRDefault="00544B6C" w:rsidP="004025C8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B6C" w:rsidRDefault="00544B6C" w:rsidP="004025C8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B6C" w:rsidRDefault="00544B6C" w:rsidP="004025C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44B6C" w:rsidRDefault="00544B6C" w:rsidP="004025C8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4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5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6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8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9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12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544B6C" w:rsidRPr="00342573" w:rsidTr="00544B6C">
              <w:trPr>
                <w:jc w:val="center"/>
              </w:trPr>
              <w:tc>
                <w:tcPr>
                  <w:tcW w:w="1872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13</w:t>
                  </w:r>
                </w:p>
              </w:tc>
              <w:tc>
                <w:tcPr>
                  <w:tcW w:w="2410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42573">
                    <w:rPr>
                      <w:rFonts w:ascii="Times New Roman" w:hAnsi="Times New Roman" w:cs="Times New Roman"/>
                      <w:b/>
                    </w:rPr>
                    <w:t>11</w:t>
                  </w:r>
                </w:p>
              </w:tc>
              <w:tc>
                <w:tcPr>
                  <w:tcW w:w="1843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268" w:type="dxa"/>
                </w:tcPr>
                <w:p w:rsidR="00544B6C" w:rsidRPr="00342573" w:rsidRDefault="00544B6C" w:rsidP="00544B6C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544B6C" w:rsidRDefault="00544B6C" w:rsidP="004025C8">
            <w:pPr>
              <w:autoSpaceDE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4025C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Disclosure of insider information / approval of the issuer’s internal document</w:t>
            </w:r>
          </w:p>
          <w:p w:rsidR="00544B6C" w:rsidRDefault="00544B6C" w:rsidP="004025C8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1 “</w:t>
            </w:r>
            <w:r w:rsidRPr="00BB179C">
              <w:rPr>
                <w:b/>
                <w:lang w:val="en-US" w:eastAsia="en-US"/>
              </w:rPr>
              <w:t>On approval of Standard and Regulations for Business Planning of Kubanenergo PJSC in a new version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4025C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544B6C" w:rsidRDefault="00544B6C" w:rsidP="004025C8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1. To approve </w:t>
            </w:r>
            <w:r w:rsidRPr="00BB179C">
              <w:rPr>
                <w:color w:val="000000" w:themeColor="text1"/>
                <w:lang w:val="en-US" w:eastAsia="en-US"/>
              </w:rPr>
              <w:t>the</w:t>
            </w:r>
            <w:r>
              <w:rPr>
                <w:color w:val="000000" w:themeColor="text1"/>
                <w:lang w:val="en-US" w:eastAsia="en-US"/>
              </w:rPr>
              <w:t xml:space="preserve"> restated</w:t>
            </w:r>
            <w:r w:rsidRPr="00BB179C">
              <w:rPr>
                <w:color w:val="000000" w:themeColor="text1"/>
                <w:lang w:val="en-US" w:eastAsia="en-US"/>
              </w:rPr>
              <w:t xml:space="preserve"> </w:t>
            </w:r>
            <w:r w:rsidRPr="00BB179C">
              <w:rPr>
                <w:lang w:val="en-US" w:eastAsia="en-US"/>
              </w:rPr>
              <w:t>Standard and Regulations for Business Planning of Kubanenergo PJSC</w:t>
            </w:r>
            <w:r>
              <w:rPr>
                <w:lang w:val="en-US" w:eastAsia="en-US"/>
              </w:rPr>
              <w:t>, in accordance with Annexes 1-2 to this resolution of the BoD.</w:t>
            </w:r>
          </w:p>
          <w:p w:rsidR="00544B6C" w:rsidRPr="00BB179C" w:rsidRDefault="00544B6C" w:rsidP="004025C8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 To consider as invalid the</w:t>
            </w:r>
            <w:r w:rsidRPr="00BB179C">
              <w:rPr>
                <w:lang w:val="en-US" w:eastAsia="en-US"/>
              </w:rPr>
              <w:t xml:space="preserve"> Standard and Regulations for Business Planning of Kubanenergo</w:t>
            </w:r>
            <w:r>
              <w:rPr>
                <w:lang w:val="en-US" w:eastAsia="en-US"/>
              </w:rPr>
              <w:t xml:space="preserve"> JSC that was approved at the meeting of the Board of Directors on 31.03.2015 (minutes of meeting No.206/2015 </w:t>
            </w:r>
            <w:proofErr w:type="spellStart"/>
            <w:r>
              <w:rPr>
                <w:lang w:val="en-US" w:eastAsia="en-US"/>
              </w:rPr>
              <w:t>dd</w:t>
            </w:r>
            <w:proofErr w:type="spellEnd"/>
            <w:r>
              <w:rPr>
                <w:lang w:val="en-US" w:eastAsia="en-US"/>
              </w:rPr>
              <w:t xml:space="preserve"> 03.04.2015).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Default="00544B6C" w:rsidP="004025C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544B6C" w:rsidRDefault="00544B6C" w:rsidP="004025C8">
            <w:pPr>
              <w:jc w:val="both"/>
              <w:rPr>
                <w:b/>
                <w:color w:val="000000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>Item No. 2 “</w:t>
            </w:r>
            <w:r w:rsidRPr="00BB179C">
              <w:rPr>
                <w:b/>
                <w:lang w:val="en-US" w:eastAsia="en-US"/>
              </w:rPr>
              <w:t>On consideration of the report of the General Director of Kubanenergo PJSC on implementation in the 1</w:t>
            </w:r>
            <w:r w:rsidRPr="00BB179C">
              <w:rPr>
                <w:b/>
                <w:vertAlign w:val="superscript"/>
                <w:lang w:val="en-US" w:eastAsia="en-US"/>
              </w:rPr>
              <w:t>st</w:t>
            </w:r>
            <w:r w:rsidRPr="00BB179C">
              <w:rPr>
                <w:b/>
                <w:lang w:val="en-US" w:eastAsia="en-US"/>
              </w:rPr>
              <w:t xml:space="preserve"> quarter of 2017 of decisions taken at the meetings of the Board of Directors of the Company</w:t>
            </w:r>
            <w:r w:rsidRPr="00BB179C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Default="00544B6C" w:rsidP="004025C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544B6C" w:rsidRDefault="00544B6C" w:rsidP="004025C8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postpone the discussion to a later date.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4025C8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BB179C" w:rsidRDefault="00544B6C" w:rsidP="004025C8">
            <w:pPr>
              <w:jc w:val="both"/>
              <w:rPr>
                <w:b/>
                <w:color w:val="000000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 3 “</w:t>
            </w:r>
            <w:r w:rsidRPr="00BB179C">
              <w:rPr>
                <w:b/>
                <w:lang w:val="en-US" w:eastAsia="en-US"/>
              </w:rPr>
              <w:t>On consideration of the report of the Audit Committee of the Board of Directors of Kubanenergo PJSC on its activity in 2016-2017 corporate year</w:t>
            </w:r>
            <w:r w:rsidRPr="00BB179C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4025C8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2.2.3.  Decision adopted by issuer’s Board of Directors:</w:t>
            </w:r>
          </w:p>
          <w:p w:rsidR="00544B6C" w:rsidRPr="00BB179C" w:rsidRDefault="00544B6C" w:rsidP="004025C8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 xml:space="preserve">To take into </w:t>
            </w:r>
            <w:r w:rsidRPr="00BB179C">
              <w:rPr>
                <w:lang w:val="en-US" w:eastAsia="en-US"/>
              </w:rPr>
              <w:t>consideration the report of the Audit Committee of the Board of Directors of Kubanenergo PJSC on its activity in 2016-2017 corporate year</w:t>
            </w:r>
            <w:r>
              <w:rPr>
                <w:lang w:val="en-US" w:eastAsia="en-US"/>
              </w:rPr>
              <w:t>, in accordance with Anne 3 to this resolution of the BoD.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4 “</w:t>
            </w:r>
            <w:r w:rsidRPr="00E52EDB">
              <w:rPr>
                <w:b/>
                <w:lang w:val="en-US" w:eastAsia="en-US"/>
              </w:rPr>
              <w:t>On approval of contracts for free use of residential premises between Kubanenergo PJSC and employees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4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Pr="00544B6C" w:rsidRDefault="00544B6C" w:rsidP="00544B6C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To approve </w:t>
            </w:r>
            <w:r w:rsidRPr="009D31C7">
              <w:rPr>
                <w:lang w:val="en-US" w:eastAsia="en-US"/>
              </w:rPr>
              <w:t xml:space="preserve">contracts for free use of residential premises between Kubanenergo PJSC and employees of </w:t>
            </w:r>
            <w:r>
              <w:rPr>
                <w:lang w:val="en-US" w:eastAsia="en-US"/>
              </w:rPr>
              <w:t xml:space="preserve">Sochi Electric Networks, branch of </w:t>
            </w:r>
            <w:r w:rsidRPr="009D31C7">
              <w:rPr>
                <w:lang w:val="en-US" w:eastAsia="en-US"/>
              </w:rPr>
              <w:t>Kubanenergo PJS</w:t>
            </w:r>
            <w:r>
              <w:rPr>
                <w:lang w:val="en-US" w:eastAsia="en-US"/>
              </w:rPr>
              <w:t>C on conditions disclosed in Annex 4 to this resolution of the BoD.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544B6C" w:rsidRDefault="00544B6C" w:rsidP="00544B6C">
            <w:pPr>
              <w:tabs>
                <w:tab w:val="left" w:pos="179"/>
                <w:tab w:val="left" w:pos="255"/>
                <w:tab w:val="left" w:pos="284"/>
              </w:tabs>
              <w:spacing w:before="120"/>
              <w:jc w:val="both"/>
              <w:rPr>
                <w:b/>
                <w:lang w:val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5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consideration of programme of measures to reduce losses of electric energy in the networks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5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Default="00544B6C" w:rsidP="00544B6C">
            <w:pPr>
              <w:pStyle w:val="a6"/>
              <w:numPr>
                <w:ilvl w:val="0"/>
                <w:numId w:val="3"/>
              </w:numPr>
              <w:tabs>
                <w:tab w:val="left" w:pos="311"/>
                <w:tab w:val="left" w:pos="491"/>
              </w:tabs>
              <w:ind w:left="0" w:firstLine="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To approve </w:t>
            </w:r>
            <w:r w:rsidRPr="00CA2FC3">
              <w:rPr>
                <w:lang w:val="en-US" w:eastAsia="en-US"/>
              </w:rPr>
              <w:t>programme of measures to reduce losses of electric energy in the networks of Kubanenergo PJSC</w:t>
            </w:r>
            <w:r>
              <w:rPr>
                <w:lang w:val="en-US" w:eastAsia="en-US"/>
              </w:rPr>
              <w:t xml:space="preserve"> for 2017-2021 in order to reach the appropriate level of electricity losses, in accordance with Annex 5 to this resolution of the BoD.</w:t>
            </w:r>
          </w:p>
          <w:p w:rsidR="00544B6C" w:rsidRPr="00544B6C" w:rsidRDefault="00544B6C" w:rsidP="00544B6C">
            <w:pPr>
              <w:pStyle w:val="a6"/>
              <w:numPr>
                <w:ilvl w:val="0"/>
                <w:numId w:val="3"/>
              </w:numPr>
              <w:tabs>
                <w:tab w:val="left" w:pos="311"/>
                <w:tab w:val="left" w:pos="491"/>
              </w:tabs>
              <w:ind w:left="0" w:firstLine="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To consider as invalid the </w:t>
            </w:r>
            <w:r w:rsidRPr="00CA2FC3">
              <w:rPr>
                <w:lang w:val="en-US" w:eastAsia="en-US"/>
              </w:rPr>
              <w:t>program</w:t>
            </w:r>
            <w:r>
              <w:rPr>
                <w:lang w:val="en-US" w:eastAsia="en-US"/>
              </w:rPr>
              <w:t>me</w:t>
            </w:r>
            <w:r w:rsidRPr="00CA2FC3">
              <w:rPr>
                <w:lang w:val="en-US" w:eastAsia="en-US"/>
              </w:rPr>
              <w:t xml:space="preserve"> of measures</w:t>
            </w:r>
            <w:r>
              <w:rPr>
                <w:lang w:val="en-US" w:eastAsia="en-US"/>
              </w:rPr>
              <w:t xml:space="preserve"> </w:t>
            </w:r>
            <w:r w:rsidRPr="00CA2FC3">
              <w:rPr>
                <w:lang w:val="en-US" w:eastAsia="en-US"/>
              </w:rPr>
              <w:t xml:space="preserve">to address the problematic issues </w:t>
            </w:r>
            <w:r>
              <w:rPr>
                <w:lang w:val="en-US" w:eastAsia="en-US"/>
              </w:rPr>
              <w:t>impeding</w:t>
            </w:r>
            <w:r w:rsidRPr="00CA2FC3">
              <w:rPr>
                <w:lang w:val="en-US" w:eastAsia="en-US"/>
              </w:rPr>
              <w:t xml:space="preserve"> the reduction of </w:t>
            </w:r>
            <w:r>
              <w:rPr>
                <w:lang w:val="en-US" w:eastAsia="en-US"/>
              </w:rPr>
              <w:t xml:space="preserve">the level of electricity losses, which are in competence of </w:t>
            </w:r>
            <w:r w:rsidRPr="00CA2FC3">
              <w:rPr>
                <w:lang w:val="en-US" w:eastAsia="en-US"/>
              </w:rPr>
              <w:t xml:space="preserve">Kubanenergo, </w:t>
            </w:r>
            <w:r>
              <w:rPr>
                <w:lang w:val="en-US" w:eastAsia="en-US"/>
              </w:rPr>
              <w:t xml:space="preserve">in accordance with the programme 2013-2018 </w:t>
            </w:r>
            <w:r w:rsidRPr="00CA2FC3">
              <w:rPr>
                <w:lang w:val="en-US" w:eastAsia="en-US"/>
              </w:rPr>
              <w:t xml:space="preserve">approved by the Board of Directors of the Company on August 15, 2013 (Minutes </w:t>
            </w:r>
            <w:r>
              <w:rPr>
                <w:lang w:val="en-US" w:eastAsia="en-US"/>
              </w:rPr>
              <w:t xml:space="preserve">of meeting </w:t>
            </w:r>
            <w:r w:rsidRPr="00CA2FC3">
              <w:rPr>
                <w:lang w:val="en-US" w:eastAsia="en-US"/>
              </w:rPr>
              <w:t>No.170/2013 of August 16, 2013).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6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consideration of the report of the General Director of Kubanenergo PJSC on the credit policy of the Company in the 1</w:t>
            </w:r>
            <w:r w:rsidRPr="00E52EDB">
              <w:rPr>
                <w:b/>
                <w:vertAlign w:val="superscript"/>
                <w:lang w:val="en-US" w:eastAsia="en-US"/>
              </w:rPr>
              <w:t>st</w:t>
            </w:r>
            <w:r w:rsidRPr="00E52EDB">
              <w:rPr>
                <w:b/>
                <w:lang w:val="en-US" w:eastAsia="en-US"/>
              </w:rPr>
              <w:t xml:space="preserve"> quarter of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6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take the agenda item off the table.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7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update of the status and the basic grounds for setting target values ​​for the priority areas of the Company’s activities for 2017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7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 xml:space="preserve">1. To approve information on change in status of priority activities of the Company and the basic grounds for setting target values ​​for 2017 in accordance with </w:t>
            </w:r>
            <w:r>
              <w:rPr>
                <w:color w:val="000000" w:themeColor="text1"/>
                <w:lang w:val="en-US" w:eastAsia="en-US"/>
              </w:rPr>
              <w:t>Annex</w:t>
            </w:r>
            <w:r w:rsidRPr="00B378A5">
              <w:rPr>
                <w:color w:val="000000" w:themeColor="text1"/>
                <w:lang w:val="en-US" w:eastAsia="en-US"/>
              </w:rPr>
              <w:t xml:space="preserve"> 6 to the decision of the Management Board of the Company.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>2. To consider expedient: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>2.1</w:t>
            </w:r>
            <w:r>
              <w:rPr>
                <w:color w:val="000000" w:themeColor="text1"/>
                <w:lang w:val="en-US" w:eastAsia="en-US"/>
              </w:rPr>
              <w:t xml:space="preserve">. </w:t>
            </w:r>
            <w:r w:rsidRPr="00967E1A">
              <w:rPr>
                <w:color w:val="000000" w:themeColor="text1"/>
                <w:lang w:val="en-US" w:eastAsia="en-US"/>
              </w:rPr>
              <w:t>The following priority areas of 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967E1A">
              <w:rPr>
                <w:color w:val="000000" w:themeColor="text1"/>
                <w:lang w:val="en-US" w:eastAsia="en-US"/>
              </w:rPr>
              <w:t xml:space="preserve">s activities </w:t>
            </w:r>
            <w:r>
              <w:rPr>
                <w:color w:val="000000" w:themeColor="text1"/>
                <w:lang w:val="en-US" w:eastAsia="en-US"/>
              </w:rPr>
              <w:t>shall be</w:t>
            </w:r>
            <w:r w:rsidRPr="00967E1A">
              <w:rPr>
                <w:color w:val="000000" w:themeColor="text1"/>
                <w:lang w:val="en-US" w:eastAsia="en-US"/>
              </w:rPr>
              <w:t xml:space="preserve"> recognized as having lost their relevance in connection with implementation and termination of the deadline for implementation of </w:t>
            </w:r>
            <w:r>
              <w:rPr>
                <w:color w:val="000000" w:themeColor="text1"/>
                <w:lang w:val="en-US" w:eastAsia="en-US"/>
              </w:rPr>
              <w:t xml:space="preserve">such </w:t>
            </w:r>
            <w:r w:rsidRPr="00967E1A">
              <w:rPr>
                <w:color w:val="000000" w:themeColor="text1"/>
                <w:lang w:val="en-US" w:eastAsia="en-US"/>
              </w:rPr>
              <w:t>activities</w:t>
            </w:r>
            <w:r w:rsidRPr="00B378A5">
              <w:rPr>
                <w:color w:val="000000" w:themeColor="text1"/>
                <w:lang w:val="en-US" w:eastAsia="en-US"/>
              </w:rPr>
              <w:t>: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 xml:space="preserve">- Construction and operation of fiber-optic communication lines (Meetings of the Board of Directors </w:t>
            </w:r>
            <w:proofErr w:type="gramStart"/>
            <w:r>
              <w:rPr>
                <w:color w:val="000000" w:themeColor="text1"/>
                <w:lang w:val="en-US" w:eastAsia="en-US"/>
              </w:rPr>
              <w:t>meeting</w:t>
            </w:r>
            <w:proofErr w:type="gramEnd"/>
            <w:r>
              <w:rPr>
                <w:color w:val="000000" w:themeColor="text1"/>
                <w:lang w:val="en-US" w:eastAsia="en-US"/>
              </w:rPr>
              <w:t xml:space="preserve"> No.</w:t>
            </w:r>
            <w:r w:rsidRPr="00B378A5">
              <w:rPr>
                <w:color w:val="000000" w:themeColor="text1"/>
                <w:lang w:val="en-US" w:eastAsia="en-US"/>
              </w:rPr>
              <w:t>133/2012</w:t>
            </w:r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dd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05.05.2012</w:t>
            </w:r>
            <w:r w:rsidRPr="00B378A5">
              <w:rPr>
                <w:color w:val="000000" w:themeColor="text1"/>
                <w:lang w:val="en-US" w:eastAsia="en-US"/>
              </w:rPr>
              <w:t>);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lastRenderedPageBreak/>
              <w:t>- Consolidation of network assets: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B378A5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of</w:t>
            </w:r>
            <w:r w:rsidRPr="00B378A5">
              <w:rPr>
                <w:color w:val="000000" w:themeColor="text1"/>
                <w:lang w:val="en-US" w:eastAsia="en-US"/>
              </w:rPr>
              <w:t xml:space="preserve"> consolidation of electric grid assets for 2011-2015 (minutes of meeting of the Board of Directors</w:t>
            </w:r>
            <w:r w:rsidRPr="00207A72">
              <w:rPr>
                <w:color w:val="000000" w:themeColor="text1"/>
                <w:lang w:val="en-US" w:eastAsia="en-US"/>
              </w:rPr>
              <w:t xml:space="preserve"> </w:t>
            </w:r>
            <w:r w:rsidRPr="00B378A5">
              <w:rPr>
                <w:color w:val="000000" w:themeColor="text1"/>
                <w:lang w:val="en-US" w:eastAsia="en-US"/>
              </w:rPr>
              <w:t>No. 121/1/2011 dated 21.11.2011);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 xml:space="preserve">- </w:t>
            </w:r>
            <w:r>
              <w:rPr>
                <w:color w:val="000000" w:themeColor="text1"/>
                <w:lang w:val="en-US" w:eastAsia="en-US"/>
              </w:rPr>
              <w:t>Introduction</w:t>
            </w:r>
            <w:r w:rsidRPr="00B378A5">
              <w:rPr>
                <w:color w:val="000000" w:themeColor="text1"/>
                <w:lang w:val="en-US" w:eastAsia="en-US"/>
              </w:rPr>
              <w:t xml:space="preserve"> of a system for managing construction of </w:t>
            </w:r>
            <w:r>
              <w:rPr>
                <w:color w:val="000000" w:themeColor="text1"/>
                <w:lang w:val="en-US" w:eastAsia="en-US"/>
              </w:rPr>
              <w:t>crucial</w:t>
            </w:r>
            <w:r w:rsidRPr="00B378A5">
              <w:rPr>
                <w:color w:val="000000" w:themeColor="text1"/>
                <w:lang w:val="en-US" w:eastAsia="en-US"/>
              </w:rPr>
              <w:t xml:space="preserve"> investment</w:t>
            </w:r>
            <w:r>
              <w:rPr>
                <w:color w:val="000000" w:themeColor="text1"/>
                <w:lang w:val="en-US" w:eastAsia="en-US"/>
              </w:rPr>
              <w:t xml:space="preserve"> p</w:t>
            </w:r>
            <w:r w:rsidRPr="00B378A5">
              <w:rPr>
                <w:color w:val="000000" w:themeColor="text1"/>
                <w:lang w:val="en-US" w:eastAsia="en-US"/>
              </w:rPr>
              <w:t xml:space="preserve">rojects (minutes of meeting of the Board of Directors </w:t>
            </w:r>
            <w:r>
              <w:rPr>
                <w:color w:val="000000" w:themeColor="text1"/>
                <w:lang w:val="en-US" w:eastAsia="en-US"/>
              </w:rPr>
              <w:t>No.1</w:t>
            </w:r>
            <w:r w:rsidRPr="00B378A5">
              <w:rPr>
                <w:color w:val="000000" w:themeColor="text1"/>
                <w:lang w:val="en-US" w:eastAsia="en-US"/>
              </w:rPr>
              <w:t>21/2011</w:t>
            </w:r>
            <w:r w:rsidRPr="00207A72">
              <w:rPr>
                <w:color w:val="000000" w:themeColor="text1"/>
                <w:lang w:val="en-US" w:eastAsia="en-US"/>
              </w:rPr>
              <w:t xml:space="preserve"> </w:t>
            </w:r>
            <w:r w:rsidRPr="00B378A5">
              <w:rPr>
                <w:color w:val="000000" w:themeColor="text1"/>
                <w:lang w:val="en-US" w:eastAsia="en-US"/>
              </w:rPr>
              <w:t xml:space="preserve">dated </w:t>
            </w:r>
            <w:r>
              <w:rPr>
                <w:color w:val="000000" w:themeColor="text1"/>
                <w:lang w:val="en-US" w:eastAsia="en-US"/>
              </w:rPr>
              <w:t>21.11.2011</w:t>
            </w:r>
            <w:r w:rsidRPr="00B378A5">
              <w:rPr>
                <w:color w:val="000000" w:themeColor="text1"/>
                <w:lang w:val="en-US" w:eastAsia="en-US"/>
              </w:rPr>
              <w:t>);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>- Implementation of 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378A5">
              <w:rPr>
                <w:color w:val="000000" w:themeColor="text1"/>
                <w:lang w:val="en-US" w:eastAsia="en-US"/>
              </w:rPr>
              <w:t>s environmental policy: Environmental policy of the Company for 2008-2015;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B378A5">
              <w:rPr>
                <w:color w:val="000000" w:themeColor="text1"/>
                <w:lang w:val="en-US" w:eastAsia="en-US"/>
              </w:rPr>
              <w:t xml:space="preserve"> of implementation of 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378A5">
              <w:rPr>
                <w:color w:val="000000" w:themeColor="text1"/>
                <w:lang w:val="en-US" w:eastAsia="en-US"/>
              </w:rPr>
              <w:t>s environmental policy for 2008;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B378A5">
              <w:rPr>
                <w:color w:val="000000" w:themeColor="text1"/>
                <w:lang w:val="en-US" w:eastAsia="en-US"/>
              </w:rPr>
              <w:t xml:space="preserve"> of implementation of 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378A5">
              <w:rPr>
                <w:color w:val="000000" w:themeColor="text1"/>
                <w:lang w:val="en-US" w:eastAsia="en-US"/>
              </w:rPr>
              <w:t xml:space="preserve">s environmental policy for 2008-2010 (Minutes of the Board of Directors </w:t>
            </w:r>
            <w:proofErr w:type="gramStart"/>
            <w:r w:rsidRPr="00B378A5">
              <w:rPr>
                <w:color w:val="000000" w:themeColor="text1"/>
                <w:lang w:val="en-US" w:eastAsia="en-US"/>
              </w:rPr>
              <w:t>meeting</w:t>
            </w:r>
            <w:proofErr w:type="gramEnd"/>
            <w:r w:rsidRPr="00B378A5">
              <w:rPr>
                <w:color w:val="000000" w:themeColor="text1"/>
                <w:lang w:val="en-US" w:eastAsia="en-US"/>
              </w:rPr>
              <w:t xml:space="preserve"> No.49/2008 dated </w:t>
            </w:r>
            <w:r>
              <w:rPr>
                <w:color w:val="000000" w:themeColor="text1"/>
                <w:lang w:val="en-US" w:eastAsia="en-US"/>
              </w:rPr>
              <w:t>18.01.</w:t>
            </w:r>
            <w:r w:rsidRPr="00B378A5">
              <w:rPr>
                <w:color w:val="000000" w:themeColor="text1"/>
                <w:lang w:val="en-US" w:eastAsia="en-US"/>
              </w:rPr>
              <w:t>2008);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>- 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378A5">
              <w:rPr>
                <w:color w:val="000000" w:themeColor="text1"/>
                <w:lang w:val="en-US" w:eastAsia="en-US"/>
              </w:rPr>
              <w:t>s strategy in the field of information technology, automation and</w:t>
            </w:r>
            <w:r>
              <w:rPr>
                <w:color w:val="000000" w:themeColor="text1"/>
                <w:lang w:val="en-US" w:eastAsia="en-US"/>
              </w:rPr>
              <w:t xml:space="preserve"> t</w:t>
            </w:r>
            <w:r w:rsidRPr="00B378A5">
              <w:rPr>
                <w:color w:val="000000" w:themeColor="text1"/>
                <w:lang w:val="en-US" w:eastAsia="en-US"/>
              </w:rPr>
              <w:t>elecommunications for the period until 2016 (minutes of meeting of the Board of Directors dated 20.06.2012 No.138/2012)</w:t>
            </w:r>
            <w:r>
              <w:rPr>
                <w:color w:val="000000" w:themeColor="text1"/>
                <w:lang w:val="en-US" w:eastAsia="en-US"/>
              </w:rPr>
              <w:t>.</w:t>
            </w:r>
          </w:p>
          <w:p w:rsidR="00544B6C" w:rsidRPr="00B378A5" w:rsidRDefault="00544B6C" w:rsidP="00544B6C">
            <w:p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>2.2. After approval by the Board of Directors of 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378A5">
              <w:rPr>
                <w:color w:val="000000" w:themeColor="text1"/>
                <w:lang w:val="en-US" w:eastAsia="en-US"/>
              </w:rPr>
              <w:t>s Program</w:t>
            </w:r>
            <w:r>
              <w:rPr>
                <w:color w:val="000000" w:themeColor="text1"/>
                <w:lang w:val="en-US" w:eastAsia="en-US"/>
              </w:rPr>
              <w:t>me</w:t>
            </w:r>
            <w:r w:rsidRPr="00B378A5">
              <w:rPr>
                <w:color w:val="000000" w:themeColor="text1"/>
                <w:lang w:val="en-US" w:eastAsia="en-US"/>
              </w:rPr>
              <w:t xml:space="preserve"> </w:t>
            </w:r>
            <w:r>
              <w:rPr>
                <w:color w:val="000000" w:themeColor="text1"/>
                <w:lang w:val="en-US" w:eastAsia="en-US"/>
              </w:rPr>
              <w:t>for</w:t>
            </w:r>
            <w:r w:rsidRPr="00B378A5">
              <w:rPr>
                <w:color w:val="000000" w:themeColor="text1"/>
                <w:lang w:val="en-US" w:eastAsia="en-US"/>
              </w:rPr>
              <w:t xml:space="preserve"> consolidation of electric grid assets 2017-2019</w:t>
            </w:r>
            <w:r>
              <w:rPr>
                <w:color w:val="000000" w:themeColor="text1"/>
                <w:lang w:val="en-US" w:eastAsia="en-US"/>
              </w:rPr>
              <w:t>, t</w:t>
            </w:r>
            <w:r w:rsidRPr="00B378A5">
              <w:rPr>
                <w:color w:val="000000" w:themeColor="text1"/>
                <w:lang w:val="en-US" w:eastAsia="en-US"/>
              </w:rPr>
              <w:t xml:space="preserve">o ensure that </w:t>
            </w:r>
            <w:r>
              <w:rPr>
                <w:color w:val="000000" w:themeColor="text1"/>
                <w:lang w:val="en-US" w:eastAsia="en-US"/>
              </w:rPr>
              <w:t>“</w:t>
            </w:r>
            <w:r w:rsidRPr="00B378A5">
              <w:rPr>
                <w:color w:val="000000" w:themeColor="text1"/>
                <w:lang w:val="en-US" w:eastAsia="en-US"/>
              </w:rPr>
              <w:t>Consolidation of electric grid assets</w:t>
            </w:r>
            <w:r>
              <w:rPr>
                <w:color w:val="000000" w:themeColor="text1"/>
                <w:lang w:val="en-US" w:eastAsia="en-US"/>
              </w:rPr>
              <w:t>”</w:t>
            </w:r>
            <w:r w:rsidRPr="00B378A5">
              <w:rPr>
                <w:color w:val="000000" w:themeColor="text1"/>
                <w:lang w:val="en-US" w:eastAsia="en-US"/>
              </w:rPr>
              <w:t xml:space="preserve"> is recognized as a priority area of ​​the Company</w:t>
            </w:r>
            <w:r>
              <w:rPr>
                <w:color w:val="000000" w:themeColor="text1"/>
                <w:lang w:val="en-US" w:eastAsia="en-US"/>
              </w:rPr>
              <w:t>’</w:t>
            </w:r>
            <w:r w:rsidRPr="00B378A5">
              <w:rPr>
                <w:color w:val="000000" w:themeColor="text1"/>
                <w:lang w:val="en-US" w:eastAsia="en-US"/>
              </w:rPr>
              <w:t>s business.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378A5">
              <w:rPr>
                <w:color w:val="000000" w:themeColor="text1"/>
                <w:lang w:val="en-US" w:eastAsia="en-US"/>
              </w:rPr>
              <w:t xml:space="preserve">2.3. </w:t>
            </w:r>
            <w:r>
              <w:rPr>
                <w:color w:val="000000" w:themeColor="text1"/>
                <w:lang w:val="en-US" w:eastAsia="en-US"/>
              </w:rPr>
              <w:t>Implementation</w:t>
            </w:r>
            <w:r w:rsidRPr="00B378A5">
              <w:rPr>
                <w:color w:val="000000" w:themeColor="text1"/>
                <w:lang w:val="en-US" w:eastAsia="en-US"/>
              </w:rPr>
              <w:t xml:space="preserve"> of the priority </w:t>
            </w:r>
            <w:r>
              <w:rPr>
                <w:color w:val="000000" w:themeColor="text1"/>
                <w:lang w:val="en-US" w:eastAsia="en-US"/>
              </w:rPr>
              <w:t>activity “</w:t>
            </w:r>
            <w:r w:rsidRPr="00B378A5">
              <w:rPr>
                <w:color w:val="000000" w:themeColor="text1"/>
                <w:lang w:val="en-US" w:eastAsia="en-US"/>
              </w:rPr>
              <w:t>Measures to reduce losses, using in-source funding sources (including with the use of energy service contracts)</w:t>
            </w:r>
            <w:r>
              <w:rPr>
                <w:color w:val="000000" w:themeColor="text1"/>
                <w:lang w:val="en-US" w:eastAsia="en-US"/>
              </w:rPr>
              <w:t>”</w:t>
            </w:r>
            <w:r w:rsidRPr="00B378A5">
              <w:rPr>
                <w:color w:val="000000" w:themeColor="text1"/>
                <w:lang w:val="en-US" w:eastAsia="en-US"/>
              </w:rPr>
              <w:t xml:space="preserve"> as part of the activities of the complex of work with losses of electricity during its transmission (as estimated by the KPI </w:t>
            </w:r>
            <w:r>
              <w:rPr>
                <w:color w:val="000000" w:themeColor="text1"/>
                <w:lang w:val="en-US" w:eastAsia="en-US"/>
              </w:rPr>
              <w:t>“</w:t>
            </w:r>
            <w:r w:rsidRPr="00B378A5">
              <w:rPr>
                <w:color w:val="000000" w:themeColor="text1"/>
                <w:lang w:val="en-US" w:eastAsia="en-US"/>
              </w:rPr>
              <w:t>Level of Electricity Losses</w:t>
            </w:r>
            <w:r>
              <w:rPr>
                <w:color w:val="000000" w:themeColor="text1"/>
                <w:lang w:val="en-US" w:eastAsia="en-US"/>
              </w:rPr>
              <w:t>”,</w:t>
            </w:r>
            <w:r w:rsidRPr="00B378A5">
              <w:rPr>
                <w:color w:val="000000" w:themeColor="text1"/>
                <w:lang w:val="en-US" w:eastAsia="en-US"/>
              </w:rPr>
              <w:t xml:space="preserve"> approved in the Business plan of the Company).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8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approval of the results of implementation of the target values ​​of key performance indicators of the General Director Kubanenergo PJSC in 2016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8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Pr="00544B6C" w:rsidRDefault="00544B6C" w:rsidP="00544B6C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 w:rsidRPr="00540B0B">
              <w:rPr>
                <w:color w:val="000000" w:themeColor="text1"/>
                <w:lang w:val="en-US" w:eastAsia="en-US"/>
              </w:rPr>
              <w:t xml:space="preserve">To approve </w:t>
            </w:r>
            <w:r w:rsidRPr="00540B0B">
              <w:rPr>
                <w:lang w:val="en-US" w:eastAsia="en-US"/>
              </w:rPr>
              <w:t>the results of implementation of the target values ​​of key performance indicators of the General Director Kubanenergo PJSC in 2016</w:t>
            </w:r>
            <w:r>
              <w:rPr>
                <w:lang w:val="en-US" w:eastAsia="en-US"/>
              </w:rPr>
              <w:t>, in accordance with Annex 7 to this resolution of the BoD.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9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approval of the Innovative Development Programme of Kubanenergo PJSC for the period 2016-2020 with estimates up to 2025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9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Pr="00544B6C" w:rsidRDefault="00544B6C" w:rsidP="00544B6C">
            <w:pPr>
              <w:pStyle w:val="a6"/>
              <w:tabs>
                <w:tab w:val="left" w:pos="311"/>
                <w:tab w:val="left" w:pos="491"/>
              </w:tabs>
              <w:ind w:left="0"/>
              <w:jc w:val="both"/>
              <w:rPr>
                <w:lang w:val="en-US" w:eastAsia="en-US"/>
              </w:rPr>
            </w:pPr>
            <w:r w:rsidRPr="00683312">
              <w:rPr>
                <w:color w:val="000000" w:themeColor="text1"/>
                <w:lang w:val="en-US" w:eastAsia="en-US"/>
              </w:rPr>
              <w:t xml:space="preserve">To approve </w:t>
            </w:r>
            <w:r w:rsidRPr="00683312">
              <w:rPr>
                <w:lang w:val="en-US" w:eastAsia="en-US"/>
              </w:rPr>
              <w:t>the Innovative Development Programme of Kubanenergo PJSC for the period 2016-2020 with estimates up to 2025</w:t>
            </w:r>
            <w:r>
              <w:rPr>
                <w:lang w:val="en-US" w:eastAsia="en-US"/>
              </w:rPr>
              <w:t>, in accordance with Annex 8 to this resolution of the BoD.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544B6C" w:rsidRDefault="00544B6C" w:rsidP="00544B6C">
            <w:pPr>
              <w:tabs>
                <w:tab w:val="left" w:pos="179"/>
                <w:tab w:val="left" w:pos="255"/>
                <w:tab w:val="left" w:pos="284"/>
              </w:tabs>
              <w:spacing w:before="120"/>
              <w:jc w:val="both"/>
              <w:rPr>
                <w:b/>
                <w:lang w:val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10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consideration of the Report on implementation of the Innovative Development Programme of Kubanenergo PJSC in 2016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10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683312">
              <w:rPr>
                <w:color w:val="000000" w:themeColor="text1"/>
                <w:lang w:val="en-US" w:eastAsia="en-US"/>
              </w:rPr>
              <w:t xml:space="preserve">To approve </w:t>
            </w:r>
            <w:r w:rsidRPr="00683312">
              <w:rPr>
                <w:lang w:val="en-US" w:eastAsia="en-US"/>
              </w:rPr>
              <w:t>the Report on implementation of the Innovative Development Programme of Kubanenergo PJSC in 2016, in accordance with Annex 9 to this resolution of the BoD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11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committees of the Board of Directors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11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Default="00544B6C" w:rsidP="00544B6C">
            <w:pPr>
              <w:pStyle w:val="a6"/>
              <w:numPr>
                <w:ilvl w:val="1"/>
                <w:numId w:val="4"/>
              </w:num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To decide that the Audit Committee of the Company’s BoD shall consist of 3 (three) persons.</w:t>
            </w:r>
          </w:p>
          <w:p w:rsidR="00544B6C" w:rsidRDefault="00544B6C" w:rsidP="00544B6C">
            <w:pPr>
              <w:pStyle w:val="a6"/>
              <w:numPr>
                <w:ilvl w:val="1"/>
                <w:numId w:val="4"/>
              </w:numPr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To elect the </w:t>
            </w:r>
            <w:r w:rsidRPr="00C112C9">
              <w:rPr>
                <w:color w:val="000000" w:themeColor="text1"/>
                <w:lang w:val="en-US" w:eastAsia="en-US"/>
              </w:rPr>
              <w:t xml:space="preserve">following </w:t>
            </w:r>
            <w:r>
              <w:rPr>
                <w:color w:val="000000" w:themeColor="text1"/>
                <w:lang w:val="en-US" w:eastAsia="en-US"/>
              </w:rPr>
              <w:t>persons to the Audit Committee of the Company’s BoD: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6"/>
              <w:gridCol w:w="2146"/>
              <w:gridCol w:w="6931"/>
            </w:tblGrid>
            <w:tr w:rsidR="00544B6C" w:rsidRPr="00C112C9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#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Candidate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Employment</w:t>
                  </w:r>
                  <w:proofErr w:type="spellEnd"/>
                </w:p>
              </w:tc>
            </w:tr>
            <w:tr w:rsidR="00544B6C" w:rsidRPr="00544B6C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1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Khokholkova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Kseniya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Valerievna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>Deputy Head of Directorate of Share Capital Issues and Information Disclosure,  Department  of Corporate Governance and Interaction with Shareholders,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2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Shagina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Irina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Alexandrovna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>Head of Tariff Policy Sector of Tariff Policy Department, Rosseti PJSC</w:t>
                  </w:r>
                </w:p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</w:p>
              </w:tc>
            </w:tr>
            <w:tr w:rsidR="00544B6C" w:rsidRPr="00544B6C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lastRenderedPageBreak/>
                    <w:t>3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Osipova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Yelena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Nikolayevna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>Head of Financial Analysis and Liquidity Management Sector of the Treasury Department, Rosseti PJSC</w:t>
                  </w:r>
                </w:p>
              </w:tc>
            </w:tr>
          </w:tbl>
          <w:p w:rsidR="00544B6C" w:rsidRPr="00C112C9" w:rsidRDefault="00544B6C" w:rsidP="00544B6C">
            <w:pPr>
              <w:pStyle w:val="a6"/>
              <w:numPr>
                <w:ilvl w:val="1"/>
                <w:numId w:val="4"/>
              </w:numPr>
              <w:spacing w:before="12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 To appoint </w:t>
            </w:r>
            <w:proofErr w:type="spellStart"/>
            <w:r w:rsidRPr="00C112C9">
              <w:rPr>
                <w:lang w:val="en-US"/>
              </w:rPr>
              <w:t>Khokholkova</w:t>
            </w:r>
            <w:proofErr w:type="spellEnd"/>
            <w:r w:rsidRPr="00C112C9">
              <w:rPr>
                <w:lang w:val="en-US"/>
              </w:rPr>
              <w:t xml:space="preserve"> </w:t>
            </w:r>
            <w:proofErr w:type="spellStart"/>
            <w:r w:rsidRPr="00C112C9">
              <w:rPr>
                <w:lang w:val="en-US"/>
              </w:rPr>
              <w:t>Kseniya</w:t>
            </w:r>
            <w:proofErr w:type="spellEnd"/>
            <w:r w:rsidRPr="00C112C9">
              <w:rPr>
                <w:lang w:val="en-US"/>
              </w:rPr>
              <w:t xml:space="preserve"> </w:t>
            </w:r>
            <w:proofErr w:type="spellStart"/>
            <w:r w:rsidRPr="00C112C9">
              <w:rPr>
                <w:lang w:val="en-US"/>
              </w:rPr>
              <w:t>Valerievna</w:t>
            </w:r>
            <w:proofErr w:type="spellEnd"/>
            <w:r>
              <w:rPr>
                <w:lang w:val="en-US"/>
              </w:rPr>
              <w:t xml:space="preserve"> as Chairperson of </w:t>
            </w:r>
            <w:r>
              <w:rPr>
                <w:color w:val="000000" w:themeColor="text1"/>
                <w:lang w:val="en-US" w:eastAsia="en-US"/>
              </w:rPr>
              <w:t>the Audit Committee of the Company’s BoD.</w:t>
            </w:r>
          </w:p>
          <w:p w:rsidR="00544B6C" w:rsidRDefault="00544B6C" w:rsidP="00544B6C">
            <w:pPr>
              <w:pStyle w:val="a6"/>
              <w:numPr>
                <w:ilvl w:val="1"/>
                <w:numId w:val="3"/>
              </w:numPr>
              <w:tabs>
                <w:tab w:val="left" w:pos="142"/>
                <w:tab w:val="left" w:pos="284"/>
              </w:tabs>
              <w:spacing w:before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C112C9">
              <w:rPr>
                <w:color w:val="000000" w:themeColor="text1"/>
                <w:lang w:val="en-US" w:eastAsia="en-US"/>
              </w:rPr>
              <w:t xml:space="preserve">To decide that the </w:t>
            </w:r>
            <w:r>
              <w:rPr>
                <w:color w:val="000000" w:themeColor="text1"/>
                <w:lang w:val="en-US" w:eastAsia="en-US"/>
              </w:rPr>
              <w:t>Personnel and Remuneration</w:t>
            </w:r>
            <w:r w:rsidRPr="00C112C9">
              <w:rPr>
                <w:color w:val="000000" w:themeColor="text1"/>
                <w:lang w:val="en-US" w:eastAsia="en-US"/>
              </w:rPr>
              <w:t xml:space="preserve"> Committee of the Company’s BoD shall consist of 3 (three) persons.</w:t>
            </w:r>
          </w:p>
          <w:p w:rsidR="00544B6C" w:rsidRPr="00C112C9" w:rsidRDefault="00544B6C" w:rsidP="00544B6C">
            <w:pPr>
              <w:pStyle w:val="a6"/>
              <w:numPr>
                <w:ilvl w:val="1"/>
                <w:numId w:val="3"/>
              </w:numPr>
              <w:tabs>
                <w:tab w:val="left" w:pos="142"/>
                <w:tab w:val="left" w:pos="284"/>
              </w:tabs>
              <w:spacing w:before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C112C9">
              <w:rPr>
                <w:color w:val="000000" w:themeColor="text1"/>
                <w:lang w:val="en-US" w:eastAsia="en-US"/>
              </w:rPr>
              <w:t xml:space="preserve">To elect the following </w:t>
            </w:r>
            <w:r>
              <w:rPr>
                <w:color w:val="000000" w:themeColor="text1"/>
                <w:lang w:val="en-US" w:eastAsia="en-US"/>
              </w:rPr>
              <w:t>persons to the Personnel and Remuneration</w:t>
            </w:r>
            <w:r w:rsidRPr="00C112C9">
              <w:rPr>
                <w:color w:val="000000" w:themeColor="text1"/>
                <w:lang w:val="en-US" w:eastAsia="en-US"/>
              </w:rPr>
              <w:t xml:space="preserve"> Committee of the Company’s BoD: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6"/>
              <w:gridCol w:w="2410"/>
              <w:gridCol w:w="6667"/>
            </w:tblGrid>
            <w:tr w:rsidR="00544B6C" w:rsidRPr="00C112C9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#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Candidate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Employment</w:t>
                  </w:r>
                  <w:proofErr w:type="spellEnd"/>
                </w:p>
              </w:tc>
            </w:tr>
            <w:tr w:rsidR="00544B6C" w:rsidRPr="00544B6C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1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Varlamov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Nikolay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Nikolevich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jc w:val="both"/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 xml:space="preserve">Deputy Director </w:t>
                  </w:r>
                  <w:proofErr w:type="spellStart"/>
                  <w:r w:rsidRPr="00544B6C">
                    <w:rPr>
                      <w:lang w:val="en-US"/>
                    </w:rPr>
                    <w:t>Genreal</w:t>
                  </w:r>
                  <w:proofErr w:type="spellEnd"/>
                  <w:r w:rsidRPr="00544B6C">
                    <w:rPr>
                      <w:lang w:val="en-US"/>
                    </w:rPr>
                    <w:t xml:space="preserve"> – Chief of Staff, Rosseti PJSC</w:t>
                  </w:r>
                </w:p>
              </w:tc>
            </w:tr>
            <w:tr w:rsidR="00544B6C" w:rsidRPr="00544B6C" w:rsidTr="004025C8">
              <w:trPr>
                <w:trHeight w:val="579"/>
              </w:trPr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2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Chevkin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Dmitriy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Aleksandrovich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Pr>
                    <w:jc w:val="both"/>
                    <w:rPr>
                      <w:lang w:val="en-US"/>
                    </w:rPr>
                  </w:pPr>
                  <w:r w:rsidRPr="00C112C9">
                    <w:rPr>
                      <w:lang w:val="en-US"/>
                    </w:rPr>
                    <w:t>Head of Personnel and Organization Development Department,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</w:tcPr>
                <w:p w:rsidR="00544B6C" w:rsidRPr="00C112C9" w:rsidRDefault="00544B6C" w:rsidP="00544B6C">
                  <w:r w:rsidRPr="00C112C9">
                    <w:t>3</w:t>
                  </w:r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roofErr w:type="spellStart"/>
                  <w:r w:rsidRPr="00C112C9">
                    <w:t>Erpsher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Nataliya</w:t>
                  </w:r>
                  <w:proofErr w:type="spellEnd"/>
                  <w:r w:rsidRPr="00C112C9">
                    <w:t xml:space="preserve"> </w:t>
                  </w:r>
                  <w:proofErr w:type="spellStart"/>
                  <w:r w:rsidRPr="00C112C9">
                    <w:t>Ilinichna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C112C9" w:rsidRDefault="00544B6C" w:rsidP="00544B6C">
                  <w:pPr>
                    <w:jc w:val="both"/>
                    <w:rPr>
                      <w:lang w:val="en-US"/>
                    </w:rPr>
                  </w:pPr>
                  <w:r w:rsidRPr="00C112C9">
                    <w:rPr>
                      <w:lang w:val="en-US"/>
                    </w:rPr>
                    <w:t>Head of Head of Directorate Organization Development under Department of HR Policy and Organization Development, Rosseti PJSC</w:t>
                  </w:r>
                </w:p>
              </w:tc>
            </w:tr>
          </w:tbl>
          <w:p w:rsidR="00544B6C" w:rsidRDefault="00544B6C" w:rsidP="00544B6C">
            <w:pPr>
              <w:pStyle w:val="a6"/>
              <w:numPr>
                <w:ilvl w:val="1"/>
                <w:numId w:val="3"/>
              </w:numPr>
              <w:tabs>
                <w:tab w:val="left" w:pos="142"/>
                <w:tab w:val="left" w:pos="284"/>
              </w:tabs>
              <w:spacing w:before="120"/>
              <w:ind w:left="0" w:firstLine="0"/>
              <w:jc w:val="both"/>
              <w:rPr>
                <w:lang w:val="en-US" w:eastAsia="en-US"/>
              </w:rPr>
            </w:pPr>
            <w:r w:rsidRPr="00C112C9">
              <w:rPr>
                <w:color w:val="000000" w:themeColor="text1"/>
                <w:lang w:val="en-US" w:eastAsia="en-US"/>
              </w:rPr>
              <w:t xml:space="preserve">To appoint </w:t>
            </w:r>
            <w:proofErr w:type="spellStart"/>
            <w:r w:rsidRPr="00C112C9">
              <w:rPr>
                <w:lang w:val="en-US"/>
              </w:rPr>
              <w:t>Varlamov</w:t>
            </w:r>
            <w:proofErr w:type="spellEnd"/>
            <w:r w:rsidRPr="00C112C9">
              <w:rPr>
                <w:lang w:val="en-US"/>
              </w:rPr>
              <w:t xml:space="preserve"> Nikolay </w:t>
            </w:r>
            <w:proofErr w:type="spellStart"/>
            <w:r w:rsidRPr="00C112C9">
              <w:rPr>
                <w:lang w:val="en-US"/>
              </w:rPr>
              <w:t>Nikol</w:t>
            </w:r>
            <w:r>
              <w:rPr>
                <w:lang w:val="en-US"/>
              </w:rPr>
              <w:t>a</w:t>
            </w:r>
            <w:r w:rsidRPr="00C112C9">
              <w:rPr>
                <w:lang w:val="en-US"/>
              </w:rPr>
              <w:t>evich</w:t>
            </w:r>
            <w:proofErr w:type="spellEnd"/>
            <w:r w:rsidRPr="00C112C9">
              <w:rPr>
                <w:lang w:val="en-US"/>
              </w:rPr>
              <w:t xml:space="preserve"> as Chairperson </w:t>
            </w:r>
            <w:r w:rsidRPr="00C112C9">
              <w:rPr>
                <w:color w:val="000000" w:themeColor="text1"/>
                <w:lang w:val="en-US" w:eastAsia="en-US"/>
              </w:rPr>
              <w:t xml:space="preserve">the </w:t>
            </w:r>
            <w:r>
              <w:rPr>
                <w:color w:val="000000" w:themeColor="text1"/>
                <w:lang w:val="en-US" w:eastAsia="en-US"/>
              </w:rPr>
              <w:t>Personnel and Remuneration</w:t>
            </w:r>
            <w:r w:rsidRPr="00C112C9">
              <w:rPr>
                <w:color w:val="000000" w:themeColor="text1"/>
                <w:lang w:val="en-US" w:eastAsia="en-US"/>
              </w:rPr>
              <w:t xml:space="preserve"> Committee of the Company’s BoD.</w:t>
            </w:r>
          </w:p>
          <w:p w:rsidR="00544B6C" w:rsidRPr="00C149A7" w:rsidRDefault="00544B6C" w:rsidP="00544B6C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 w:rsidRPr="00C149A7">
              <w:rPr>
                <w:color w:val="000000" w:themeColor="text1"/>
                <w:lang w:val="en-US" w:eastAsia="en-US"/>
              </w:rPr>
              <w:t>To decide that the Committee for Strategy, Development, Investment and Reforming</w:t>
            </w:r>
            <w:r>
              <w:rPr>
                <w:color w:val="000000" w:themeColor="text1"/>
                <w:lang w:val="en-US" w:eastAsia="en-US"/>
              </w:rPr>
              <w:t xml:space="preserve"> under</w:t>
            </w:r>
            <w:r w:rsidRPr="00C149A7">
              <w:rPr>
                <w:color w:val="000000" w:themeColor="text1"/>
                <w:lang w:val="en-US" w:eastAsia="en-US"/>
              </w:rPr>
              <w:t xml:space="preserve"> the Company’s BoD shall consist of </w:t>
            </w:r>
            <w:r>
              <w:rPr>
                <w:color w:val="000000" w:themeColor="text1"/>
                <w:lang w:val="en-US" w:eastAsia="en-US"/>
              </w:rPr>
              <w:t>10</w:t>
            </w:r>
            <w:r w:rsidRPr="00C149A7">
              <w:rPr>
                <w:color w:val="000000" w:themeColor="text1"/>
                <w:lang w:val="en-US" w:eastAsia="en-US"/>
              </w:rPr>
              <w:t xml:space="preserve"> (</w:t>
            </w:r>
            <w:r>
              <w:rPr>
                <w:color w:val="000000" w:themeColor="text1"/>
                <w:lang w:val="en-US" w:eastAsia="en-US"/>
              </w:rPr>
              <w:t>ten</w:t>
            </w:r>
            <w:r w:rsidRPr="00C149A7">
              <w:rPr>
                <w:color w:val="000000" w:themeColor="text1"/>
                <w:lang w:val="en-US" w:eastAsia="en-US"/>
              </w:rPr>
              <w:t>) persons.</w:t>
            </w:r>
          </w:p>
          <w:p w:rsidR="00544B6C" w:rsidRDefault="00544B6C" w:rsidP="00544B6C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</w:tabs>
              <w:spacing w:before="120"/>
              <w:ind w:left="0" w:firstLine="0"/>
              <w:jc w:val="both"/>
              <w:rPr>
                <w:color w:val="000000" w:themeColor="text1"/>
                <w:lang w:val="en-US" w:eastAsia="en-US"/>
              </w:rPr>
            </w:pPr>
            <w:r w:rsidRPr="00C112C9">
              <w:rPr>
                <w:color w:val="000000" w:themeColor="text1"/>
                <w:lang w:val="en-US" w:eastAsia="en-US"/>
              </w:rPr>
              <w:t xml:space="preserve">To elect the following </w:t>
            </w:r>
            <w:r>
              <w:rPr>
                <w:color w:val="000000" w:themeColor="text1"/>
                <w:lang w:val="en-US" w:eastAsia="en-US"/>
              </w:rPr>
              <w:t xml:space="preserve">persons to </w:t>
            </w:r>
            <w:r w:rsidRPr="00C149A7">
              <w:rPr>
                <w:color w:val="000000" w:themeColor="text1"/>
                <w:lang w:val="en-US" w:eastAsia="en-US"/>
              </w:rPr>
              <w:t>Committee for Strategy, Development, Investment and Reforming</w:t>
            </w:r>
            <w:r w:rsidRPr="00C112C9">
              <w:rPr>
                <w:color w:val="000000" w:themeColor="text1"/>
                <w:lang w:val="en-US" w:eastAsia="en-US"/>
              </w:rPr>
              <w:t>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6"/>
              <w:gridCol w:w="2657"/>
              <w:gridCol w:w="6300"/>
            </w:tblGrid>
            <w:tr w:rsidR="00544B6C" w:rsidRPr="00C149A7" w:rsidTr="004025C8">
              <w:tc>
                <w:tcPr>
                  <w:tcW w:w="0" w:type="auto"/>
                </w:tcPr>
                <w:p w:rsidR="00544B6C" w:rsidRPr="00C149A7" w:rsidRDefault="00544B6C" w:rsidP="00544B6C">
                  <w:r w:rsidRPr="00C149A7">
                    <w:t>#</w:t>
                  </w:r>
                </w:p>
              </w:tc>
              <w:tc>
                <w:tcPr>
                  <w:tcW w:w="0" w:type="auto"/>
                </w:tcPr>
                <w:p w:rsidR="00544B6C" w:rsidRPr="00C149A7" w:rsidRDefault="00544B6C" w:rsidP="00544B6C">
                  <w:proofErr w:type="spellStart"/>
                  <w:r w:rsidRPr="00C149A7">
                    <w:t>Candidate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C149A7" w:rsidRDefault="00544B6C" w:rsidP="00544B6C">
                  <w:proofErr w:type="spellStart"/>
                  <w:r w:rsidRPr="00C149A7">
                    <w:t>Employment</w:t>
                  </w:r>
                  <w:proofErr w:type="spellEnd"/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proofErr w:type="spellStart"/>
                  <w:r w:rsidRPr="00C149A7">
                    <w:t>Pavlov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Alexey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Igorevich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>Head of Treasury Department, Rosseti PJSC 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Rafalskaya</w:t>
                  </w:r>
                  <w:proofErr w:type="spellEnd"/>
                  <w:r>
                    <w:rPr>
                      <w:lang w:val="en-US"/>
                    </w:rPr>
                    <w:t xml:space="preserve"> Inna </w:t>
                  </w:r>
                  <w:proofErr w:type="spellStart"/>
                  <w:r>
                    <w:rPr>
                      <w:lang w:val="en-US"/>
                    </w:rPr>
                    <w:t>Sergeyevna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Deputy Head of Division</w:t>
                  </w:r>
                  <w:r w:rsidRPr="0020140F">
                    <w:rPr>
                      <w:lang w:val="en-US"/>
                    </w:rPr>
                    <w:t xml:space="preserve"> for Settlement of Disputes in the field of Tariff Formation of the Tariff Policy Department, Rosseti PJSC 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3</w:t>
                  </w:r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Mikryukov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Dmitriy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Vasilievich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Chief Expert of Division for Consolidated Planning and Reporting at Investments Activity Department</w:t>
                  </w:r>
                  <w:r w:rsidRPr="0020140F">
                    <w:rPr>
                      <w:lang w:val="en-US"/>
                    </w:rPr>
                    <w:t>, Rosseti PJSC 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proofErr w:type="spellStart"/>
                  <w:r w:rsidRPr="00C149A7">
                    <w:t>Lavrova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Marina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Alexandrovna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 xml:space="preserve">Head of Economics of Affiliated Companies Division at Department of Economic Planning and Allocation </w:t>
                  </w:r>
                  <w:r>
                    <w:rPr>
                      <w:lang w:val="en-US"/>
                    </w:rPr>
                    <w:t>o</w:t>
                  </w:r>
                  <w:r w:rsidRPr="0020140F">
                    <w:rPr>
                      <w:lang w:val="en-US"/>
                    </w:rPr>
                    <w:t>f Funds,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proofErr w:type="spellStart"/>
                  <w:r w:rsidRPr="00C149A7">
                    <w:t>Balaban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Fyodor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Nikolaevich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 xml:space="preserve">Deputy </w:t>
                  </w:r>
                  <w:r>
                    <w:rPr>
                      <w:lang w:val="en-US"/>
                    </w:rPr>
                    <w:t>H</w:t>
                  </w:r>
                  <w:r w:rsidRPr="0020140F">
                    <w:rPr>
                      <w:lang w:val="en-US"/>
                    </w:rPr>
                    <w:t>ead of Strategic Projects Division at Department of Strategic Development,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6</w:t>
                  </w:r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Ivanova</w:t>
                  </w:r>
                  <w:proofErr w:type="spellEnd"/>
                  <w:r>
                    <w:rPr>
                      <w:lang w:val="en-US"/>
                    </w:rPr>
                    <w:t xml:space="preserve"> Olga </w:t>
                  </w:r>
                  <w:proofErr w:type="spellStart"/>
                  <w:r>
                    <w:rPr>
                      <w:lang w:val="en-US"/>
                    </w:rPr>
                    <w:t>Sergeyevna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Assistant to Director General in charge of Investments Planning,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proofErr w:type="spellStart"/>
                  <w:r w:rsidRPr="00C149A7">
                    <w:t>Ocheredko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Olga</w:t>
                  </w:r>
                  <w:proofErr w:type="spellEnd"/>
                  <w:r w:rsidRPr="00C149A7">
                    <w:t> </w:t>
                  </w:r>
                  <w:proofErr w:type="spellStart"/>
                  <w:r w:rsidRPr="00C149A7">
                    <w:t>Vyacheslavovna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544B6C" w:rsidRPr="0020140F" w:rsidRDefault="00544B6C" w:rsidP="00544B6C">
                  <w:pPr>
                    <w:jc w:val="both"/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>Deputy General Director for Economics and</w:t>
                  </w:r>
                  <w:r>
                    <w:rPr>
                      <w:lang w:val="en-US"/>
                    </w:rPr>
                    <w:t xml:space="preserve"> </w:t>
                  </w:r>
                  <w:r w:rsidRPr="0020140F">
                    <w:rPr>
                      <w:lang w:val="en-US"/>
                    </w:rPr>
                    <w:t>Finance,  Kubanenergo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8</w:t>
                  </w:r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Seleznyov</w:t>
                  </w:r>
                  <w:proofErr w:type="spellEnd"/>
                  <w:r>
                    <w:rPr>
                      <w:lang w:val="en-US"/>
                    </w:rPr>
                    <w:t xml:space="preserve"> Viktor </w:t>
                  </w:r>
                  <w:proofErr w:type="spellStart"/>
                  <w:r>
                    <w:rPr>
                      <w:lang w:val="en-US"/>
                    </w:rPr>
                    <w:t>Yurievich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 xml:space="preserve">Head of Department of Scientific and Technical Development and </w:t>
                  </w:r>
                  <w:r>
                    <w:rPr>
                      <w:lang w:val="en-US"/>
                    </w:rPr>
                    <w:t>C</w:t>
                  </w:r>
                  <w:r w:rsidRPr="0020140F">
                    <w:rPr>
                      <w:lang w:val="en-US"/>
                    </w:rPr>
                    <w:t xml:space="preserve">ontrol over implementation of R&amp;D </w:t>
                  </w:r>
                  <w:r>
                    <w:rPr>
                      <w:lang w:val="en-US"/>
                    </w:rPr>
                    <w:t>under</w:t>
                  </w:r>
                  <w:r w:rsidRPr="0020140F">
                    <w:rPr>
                      <w:lang w:val="en-US"/>
                    </w:rPr>
                    <w:t xml:space="preserve"> the Department of Technological Development of Innovations</w:t>
                  </w:r>
                  <w:r>
                    <w:rPr>
                      <w:lang w:val="en-US"/>
                    </w:rPr>
                    <w:t>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9</w:t>
                  </w:r>
                </w:p>
              </w:tc>
              <w:tc>
                <w:tcPr>
                  <w:tcW w:w="0" w:type="auto"/>
                </w:tcPr>
                <w:p w:rsidR="00544B6C" w:rsidRPr="00C149A7" w:rsidRDefault="00544B6C" w:rsidP="00544B6C">
                  <w:proofErr w:type="spellStart"/>
                  <w:r w:rsidRPr="00C149A7">
                    <w:t>Gritsenko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Vladimir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Fyodorovich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 xml:space="preserve">Director of Business Development, </w:t>
                  </w:r>
                  <w:proofErr w:type="spellStart"/>
                  <w:r w:rsidRPr="0020140F">
                    <w:rPr>
                      <w:lang w:val="en-US"/>
                    </w:rPr>
                    <w:t>Yunitel</w:t>
                  </w:r>
                  <w:proofErr w:type="spellEnd"/>
                  <w:r w:rsidRPr="0020140F">
                    <w:rPr>
                      <w:lang w:val="en-US"/>
                    </w:rPr>
                    <w:t xml:space="preserve"> Engineering LLC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10</w:t>
                  </w:r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Guselnikov</w:t>
                  </w:r>
                  <w:proofErr w:type="spellEnd"/>
                  <w:r>
                    <w:rPr>
                      <w:lang w:val="en-US"/>
                    </w:rPr>
                    <w:t xml:space="preserve"> Konstantin </w:t>
                  </w:r>
                  <w:proofErr w:type="spellStart"/>
                  <w:r>
                    <w:rPr>
                      <w:lang w:val="en-US"/>
                    </w:rPr>
                    <w:t>Sergeyevich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Director General, </w:t>
                  </w:r>
                  <w:proofErr w:type="spellStart"/>
                  <w:r>
                    <w:rPr>
                      <w:lang w:val="en-US"/>
                    </w:rPr>
                    <w:t>FinInvest</w:t>
                  </w:r>
                  <w:proofErr w:type="spellEnd"/>
                  <w:r>
                    <w:rPr>
                      <w:lang w:val="en-US"/>
                    </w:rPr>
                    <w:t xml:space="preserve"> Consulting LLC</w:t>
                  </w:r>
                </w:p>
              </w:tc>
            </w:tr>
          </w:tbl>
          <w:p w:rsidR="00544B6C" w:rsidRPr="00C112C9" w:rsidRDefault="00544B6C" w:rsidP="00544B6C">
            <w:pPr>
              <w:pStyle w:val="a6"/>
              <w:numPr>
                <w:ilvl w:val="1"/>
                <w:numId w:val="5"/>
              </w:numPr>
              <w:tabs>
                <w:tab w:val="left" w:pos="142"/>
                <w:tab w:val="left" w:pos="284"/>
              </w:tabs>
              <w:spacing w:before="120"/>
              <w:ind w:left="0" w:firstLine="0"/>
              <w:jc w:val="both"/>
              <w:rPr>
                <w:lang w:val="en-US" w:eastAsia="en-US"/>
              </w:rPr>
            </w:pPr>
            <w:r w:rsidRPr="00C112C9">
              <w:rPr>
                <w:color w:val="000000" w:themeColor="text1"/>
                <w:lang w:val="en-US" w:eastAsia="en-US"/>
              </w:rPr>
              <w:t xml:space="preserve">To appoint </w:t>
            </w:r>
            <w:r w:rsidRPr="00D21A4D">
              <w:rPr>
                <w:lang w:val="en-US"/>
              </w:rPr>
              <w:t xml:space="preserve">Pavlov Alexey </w:t>
            </w:r>
            <w:proofErr w:type="spellStart"/>
            <w:r w:rsidRPr="00D21A4D">
              <w:rPr>
                <w:lang w:val="en-US"/>
              </w:rPr>
              <w:t>Igorevich</w:t>
            </w:r>
            <w:proofErr w:type="spellEnd"/>
            <w:r w:rsidRPr="00C112C9">
              <w:rPr>
                <w:lang w:val="en-US"/>
              </w:rPr>
              <w:t xml:space="preserve"> as Chairperson of </w:t>
            </w:r>
            <w:r w:rsidRPr="00C149A7">
              <w:rPr>
                <w:color w:val="000000" w:themeColor="text1"/>
                <w:lang w:val="en-US" w:eastAsia="en-US"/>
              </w:rPr>
              <w:t>the Committee for Strategy, Development, Investment and Reforming</w:t>
            </w:r>
            <w:r>
              <w:rPr>
                <w:color w:val="000000" w:themeColor="text1"/>
                <w:lang w:val="en-US" w:eastAsia="en-US"/>
              </w:rPr>
              <w:t xml:space="preserve"> under</w:t>
            </w:r>
            <w:r w:rsidRPr="00C149A7">
              <w:rPr>
                <w:color w:val="000000" w:themeColor="text1"/>
                <w:lang w:val="en-US" w:eastAsia="en-US"/>
              </w:rPr>
              <w:t xml:space="preserve"> the Company’s BoD</w:t>
            </w:r>
            <w:r w:rsidRPr="00C112C9">
              <w:rPr>
                <w:color w:val="000000" w:themeColor="text1"/>
                <w:lang w:val="en-US" w:eastAsia="en-US"/>
              </w:rPr>
              <w:t>.</w:t>
            </w:r>
          </w:p>
          <w:p w:rsidR="00544B6C" w:rsidRPr="00D21A4D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D21A4D">
              <w:rPr>
                <w:color w:val="000000" w:themeColor="text1"/>
                <w:lang w:val="en-US" w:eastAsia="en-US"/>
              </w:rPr>
              <w:lastRenderedPageBreak/>
              <w:t xml:space="preserve">4.1. To approve the new </w:t>
            </w:r>
            <w:r>
              <w:rPr>
                <w:color w:val="000000" w:themeColor="text1"/>
                <w:lang w:val="en-US" w:eastAsia="en-US"/>
              </w:rPr>
              <w:t xml:space="preserve">edition of </w:t>
            </w:r>
            <w:r w:rsidRPr="00D21A4D">
              <w:rPr>
                <w:color w:val="000000" w:themeColor="text1"/>
                <w:lang w:val="en-US" w:eastAsia="en-US"/>
              </w:rPr>
              <w:t>the Regulations on the Reliability Committee under the Board of Directors of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Pr="00D21A4D">
              <w:rPr>
                <w:color w:val="000000" w:themeColor="text1"/>
                <w:lang w:val="en-US" w:eastAsia="en-US"/>
              </w:rPr>
              <w:t xml:space="preserve">, in accordance with </w:t>
            </w:r>
            <w:r>
              <w:rPr>
                <w:color w:val="000000" w:themeColor="text1"/>
                <w:lang w:val="en-US" w:eastAsia="en-US"/>
              </w:rPr>
              <w:t>Annex</w:t>
            </w:r>
            <w:r w:rsidRPr="00D21A4D">
              <w:rPr>
                <w:color w:val="000000" w:themeColor="text1"/>
                <w:lang w:val="en-US" w:eastAsia="en-US"/>
              </w:rPr>
              <w:t xml:space="preserve"> 10 to this decision of the Board of Directors.</w:t>
            </w:r>
          </w:p>
          <w:p w:rsidR="00544B6C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D21A4D">
              <w:rPr>
                <w:color w:val="000000" w:themeColor="text1"/>
                <w:lang w:val="en-US" w:eastAsia="en-US"/>
              </w:rPr>
              <w:t xml:space="preserve">4.2. </w:t>
            </w:r>
            <w:r>
              <w:rPr>
                <w:color w:val="000000" w:themeColor="text1"/>
                <w:lang w:val="en-US" w:eastAsia="en-US"/>
              </w:rPr>
              <w:t>To c</w:t>
            </w:r>
            <w:r w:rsidRPr="00D21A4D">
              <w:rPr>
                <w:color w:val="000000" w:themeColor="text1"/>
                <w:lang w:val="en-US" w:eastAsia="en-US"/>
              </w:rPr>
              <w:t>onsider the Regulation</w:t>
            </w:r>
            <w:r>
              <w:rPr>
                <w:color w:val="000000" w:themeColor="text1"/>
                <w:lang w:val="en-US" w:eastAsia="en-US"/>
              </w:rPr>
              <w:t>s</w:t>
            </w:r>
            <w:r w:rsidRPr="00D21A4D">
              <w:rPr>
                <w:color w:val="000000" w:themeColor="text1"/>
                <w:lang w:val="en-US" w:eastAsia="en-US"/>
              </w:rPr>
              <w:t xml:space="preserve"> on the Reliability Committee of the Board of Directors of Kubanenergo approved by the decision of the Board of Directors of the Company </w:t>
            </w:r>
            <w:r>
              <w:rPr>
                <w:color w:val="000000" w:themeColor="text1"/>
                <w:lang w:val="en-US" w:eastAsia="en-US"/>
              </w:rPr>
              <w:t>on 04.09.2015 (Minutes of meeting No.2</w:t>
            </w:r>
            <w:r w:rsidRPr="00D21A4D">
              <w:rPr>
                <w:color w:val="000000" w:themeColor="text1"/>
                <w:lang w:val="en-US" w:eastAsia="en-US"/>
              </w:rPr>
              <w:t xml:space="preserve">19/2015 </w:t>
            </w:r>
            <w:proofErr w:type="spellStart"/>
            <w:r>
              <w:rPr>
                <w:color w:val="000000" w:themeColor="text1"/>
                <w:lang w:val="en-US" w:eastAsia="en-US"/>
              </w:rPr>
              <w:t>dd</w:t>
            </w:r>
            <w:proofErr w:type="spellEnd"/>
            <w:r w:rsidRPr="00D21A4D">
              <w:rPr>
                <w:color w:val="000000" w:themeColor="text1"/>
                <w:lang w:val="en-US" w:eastAsia="en-US"/>
              </w:rPr>
              <w:t xml:space="preserve"> 07.09.2015)</w:t>
            </w:r>
            <w:r>
              <w:rPr>
                <w:color w:val="000000" w:themeColor="text1"/>
                <w:lang w:val="en-US" w:eastAsia="en-US"/>
              </w:rPr>
              <w:t xml:space="preserve"> as no longer valid</w:t>
            </w:r>
            <w:r w:rsidRPr="00D21A4D">
              <w:rPr>
                <w:color w:val="000000" w:themeColor="text1"/>
                <w:lang w:val="en-US" w:eastAsia="en-US"/>
              </w:rPr>
              <w:t>.</w:t>
            </w:r>
          </w:p>
          <w:p w:rsidR="00544B6C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4.3. </w:t>
            </w:r>
            <w:r w:rsidRPr="00D21A4D">
              <w:rPr>
                <w:color w:val="000000" w:themeColor="text1"/>
                <w:lang w:val="en-US" w:eastAsia="en-US"/>
              </w:rPr>
              <w:t xml:space="preserve">To decide that the Reliability Committee under the Board of Directors shall consist of </w:t>
            </w:r>
            <w:r>
              <w:rPr>
                <w:color w:val="000000" w:themeColor="text1"/>
                <w:lang w:val="en-US" w:eastAsia="en-US"/>
              </w:rPr>
              <w:t>5</w:t>
            </w:r>
            <w:r w:rsidRPr="00D21A4D">
              <w:rPr>
                <w:color w:val="000000" w:themeColor="text1"/>
                <w:lang w:val="en-US" w:eastAsia="en-US"/>
              </w:rPr>
              <w:t xml:space="preserve"> (</w:t>
            </w:r>
            <w:r>
              <w:rPr>
                <w:color w:val="000000" w:themeColor="text1"/>
                <w:lang w:val="en-US" w:eastAsia="en-US"/>
              </w:rPr>
              <w:t>five</w:t>
            </w:r>
            <w:r w:rsidRPr="00D21A4D">
              <w:rPr>
                <w:color w:val="000000" w:themeColor="text1"/>
                <w:lang w:val="en-US" w:eastAsia="en-US"/>
              </w:rPr>
              <w:t>) persons.</w:t>
            </w:r>
          </w:p>
          <w:p w:rsidR="00544B6C" w:rsidRPr="00D21A4D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4.4. </w:t>
            </w:r>
            <w:r w:rsidRPr="00C112C9">
              <w:rPr>
                <w:color w:val="000000" w:themeColor="text1"/>
                <w:lang w:val="en-US" w:eastAsia="en-US"/>
              </w:rPr>
              <w:t xml:space="preserve">To elect the following </w:t>
            </w:r>
            <w:r>
              <w:rPr>
                <w:color w:val="000000" w:themeColor="text1"/>
                <w:lang w:val="en-US" w:eastAsia="en-US"/>
              </w:rPr>
              <w:t xml:space="preserve">persons to </w:t>
            </w:r>
            <w:r w:rsidRPr="00D21A4D">
              <w:rPr>
                <w:color w:val="000000" w:themeColor="text1"/>
                <w:lang w:val="en-US" w:eastAsia="en-US"/>
              </w:rPr>
              <w:t>the Reliability Committee under the Board of Directors</w:t>
            </w:r>
            <w:r w:rsidRPr="00C112C9">
              <w:rPr>
                <w:color w:val="000000" w:themeColor="text1"/>
                <w:lang w:val="en-US" w:eastAsia="en-US"/>
              </w:rPr>
              <w:t>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6"/>
              <w:gridCol w:w="2972"/>
              <w:gridCol w:w="6105"/>
            </w:tblGrid>
            <w:tr w:rsidR="00544B6C" w:rsidRPr="00C149A7" w:rsidTr="004025C8">
              <w:tc>
                <w:tcPr>
                  <w:tcW w:w="0" w:type="auto"/>
                </w:tcPr>
                <w:p w:rsidR="00544B6C" w:rsidRPr="00C149A7" w:rsidRDefault="00544B6C" w:rsidP="00544B6C">
                  <w:r w:rsidRPr="00C149A7">
                    <w:t>#</w:t>
                  </w:r>
                </w:p>
              </w:tc>
              <w:tc>
                <w:tcPr>
                  <w:tcW w:w="0" w:type="auto"/>
                </w:tcPr>
                <w:p w:rsidR="00544B6C" w:rsidRPr="00C149A7" w:rsidRDefault="00544B6C" w:rsidP="00544B6C">
                  <w:proofErr w:type="spellStart"/>
                  <w:r w:rsidRPr="00C149A7">
                    <w:t>Candidate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C149A7" w:rsidRDefault="00544B6C" w:rsidP="00544B6C">
                  <w:proofErr w:type="spellStart"/>
                  <w:r w:rsidRPr="00C149A7">
                    <w:t>Employment</w:t>
                  </w:r>
                  <w:proofErr w:type="spellEnd"/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1</w:t>
                  </w:r>
                </w:p>
              </w:tc>
              <w:tc>
                <w:tcPr>
                  <w:tcW w:w="0" w:type="auto"/>
                </w:tcPr>
                <w:p w:rsidR="00544B6C" w:rsidRPr="00D21A4D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Shishigin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Igr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Nikolaevich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Deputy Director General in charge of Technical Issues – Chief Engineer, Kubanenergo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2</w:t>
                  </w:r>
                </w:p>
              </w:tc>
              <w:tc>
                <w:tcPr>
                  <w:tcW w:w="0" w:type="auto"/>
                </w:tcPr>
                <w:p w:rsidR="00544B6C" w:rsidRPr="00C149A7" w:rsidRDefault="00544B6C" w:rsidP="00544B6C">
                  <w:proofErr w:type="spellStart"/>
                  <w:r w:rsidRPr="00C149A7">
                    <w:t>Ocheredko</w:t>
                  </w:r>
                  <w:proofErr w:type="spellEnd"/>
                  <w:r w:rsidRPr="00C149A7">
                    <w:t xml:space="preserve"> </w:t>
                  </w:r>
                  <w:proofErr w:type="spellStart"/>
                  <w:r w:rsidRPr="00C149A7">
                    <w:t>Olga</w:t>
                  </w:r>
                  <w:proofErr w:type="spellEnd"/>
                  <w:r w:rsidRPr="00C149A7">
                    <w:t> </w:t>
                  </w:r>
                  <w:proofErr w:type="spellStart"/>
                  <w:r w:rsidRPr="00C149A7">
                    <w:t>Vyacheslavovna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 w:rsidRPr="0020140F">
                    <w:rPr>
                      <w:lang w:val="en-US"/>
                    </w:rPr>
                    <w:t>Deputy General Director for Economics and</w:t>
                  </w:r>
                  <w:r>
                    <w:rPr>
                      <w:lang w:val="en-US"/>
                    </w:rPr>
                    <w:t xml:space="preserve"> </w:t>
                  </w:r>
                  <w:r w:rsidRPr="0020140F">
                    <w:rPr>
                      <w:lang w:val="en-US"/>
                    </w:rPr>
                    <w:t>Finance,  Kubanenergo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3</w:t>
                  </w:r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Ukolov</w:t>
                  </w:r>
                  <w:proofErr w:type="spellEnd"/>
                  <w:r>
                    <w:rPr>
                      <w:lang w:val="en-US"/>
                    </w:rPr>
                    <w:t xml:space="preserve"> Vladimir </w:t>
                  </w:r>
                  <w:proofErr w:type="spellStart"/>
                  <w:r>
                    <w:rPr>
                      <w:lang w:val="en-US"/>
                    </w:rPr>
                    <w:t>Anatolievich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Deputy Director of Situation and Analytical Centre,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4</w:t>
                  </w:r>
                </w:p>
              </w:tc>
              <w:tc>
                <w:tcPr>
                  <w:tcW w:w="0" w:type="auto"/>
                </w:tcPr>
                <w:p w:rsidR="00544B6C" w:rsidRPr="00D21A4D" w:rsidRDefault="00544B6C" w:rsidP="00544B6C">
                  <w:pPr>
                    <w:rPr>
                      <w:lang w:val="en-US"/>
                    </w:rPr>
                  </w:pPr>
                  <w:proofErr w:type="spellStart"/>
                  <w:r>
                    <w:rPr>
                      <w:lang w:val="en-US"/>
                    </w:rPr>
                    <w:t>Bogomolov</w:t>
                  </w:r>
                  <w:proofErr w:type="spellEnd"/>
                  <w:r>
                    <w:rPr>
                      <w:lang w:val="en-US"/>
                    </w:rPr>
                    <w:t xml:space="preserve"> Eduard </w:t>
                  </w:r>
                  <w:proofErr w:type="spellStart"/>
                  <w:r>
                    <w:rPr>
                      <w:lang w:val="en-US"/>
                    </w:rPr>
                    <w:t>Valerievich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20140F" w:rsidRDefault="00544B6C" w:rsidP="00544B6C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First Deputy Director of </w:t>
                  </w:r>
                  <w:r w:rsidRPr="00D21A4D">
                    <w:rPr>
                      <w:lang w:val="en-US"/>
                    </w:rPr>
                    <w:t>Engineering Supervision</w:t>
                  </w:r>
                  <w:r>
                    <w:rPr>
                      <w:lang w:val="en-US"/>
                    </w:rPr>
                    <w:t xml:space="preserve"> Centre, branch of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C149A7" w:rsidRDefault="00544B6C" w:rsidP="00544B6C">
                  <w:r w:rsidRPr="00C149A7">
                    <w:t>5</w:t>
                  </w:r>
                </w:p>
              </w:tc>
              <w:tc>
                <w:tcPr>
                  <w:tcW w:w="0" w:type="auto"/>
                </w:tcPr>
                <w:p w:rsidR="00544B6C" w:rsidRPr="00D21A4D" w:rsidRDefault="00544B6C" w:rsidP="00544B6C">
                  <w:proofErr w:type="spellStart"/>
                  <w:r w:rsidRPr="00D21A4D">
                    <w:t>Medvedev</w:t>
                  </w:r>
                  <w:proofErr w:type="spellEnd"/>
                  <w:r w:rsidRPr="00D21A4D">
                    <w:t xml:space="preserve"> </w:t>
                  </w:r>
                  <w:proofErr w:type="spellStart"/>
                  <w:r w:rsidRPr="00D21A4D">
                    <w:t>Mikhail</w:t>
                  </w:r>
                  <w:proofErr w:type="spellEnd"/>
                  <w:r w:rsidRPr="00D21A4D">
                    <w:t xml:space="preserve"> </w:t>
                  </w:r>
                  <w:proofErr w:type="spellStart"/>
                  <w:r w:rsidRPr="00D21A4D">
                    <w:t>Vladimirovich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>Deputy Director General, Holding “Intra Tool” LLC</w:t>
                  </w:r>
                </w:p>
              </w:tc>
            </w:tr>
          </w:tbl>
          <w:p w:rsidR="00544B6C" w:rsidRPr="00C112C9" w:rsidRDefault="00544B6C" w:rsidP="00544B6C">
            <w:pPr>
              <w:pStyle w:val="a6"/>
              <w:numPr>
                <w:ilvl w:val="1"/>
                <w:numId w:val="6"/>
              </w:numPr>
              <w:tabs>
                <w:tab w:val="left" w:pos="142"/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 w:rsidRPr="00C112C9">
              <w:rPr>
                <w:color w:val="000000" w:themeColor="text1"/>
                <w:lang w:val="en-US" w:eastAsia="en-US"/>
              </w:rPr>
              <w:t xml:space="preserve">To appoint </w:t>
            </w:r>
            <w:proofErr w:type="spellStart"/>
            <w:r>
              <w:rPr>
                <w:lang w:val="en-US"/>
              </w:rPr>
              <w:t>Ukolov</w:t>
            </w:r>
            <w:proofErr w:type="spellEnd"/>
            <w:r>
              <w:rPr>
                <w:lang w:val="en-US"/>
              </w:rPr>
              <w:t xml:space="preserve"> Vladimir </w:t>
            </w:r>
            <w:proofErr w:type="spellStart"/>
            <w:r>
              <w:rPr>
                <w:lang w:val="en-US"/>
              </w:rPr>
              <w:t>Anatolievich</w:t>
            </w:r>
            <w:proofErr w:type="spellEnd"/>
            <w:r w:rsidRPr="00C112C9">
              <w:rPr>
                <w:lang w:val="en-US"/>
              </w:rPr>
              <w:t xml:space="preserve"> as Chairperson of </w:t>
            </w:r>
            <w:r w:rsidRPr="00D21A4D">
              <w:rPr>
                <w:color w:val="000000" w:themeColor="text1"/>
                <w:lang w:val="en-US" w:eastAsia="en-US"/>
              </w:rPr>
              <w:t>the Reliability Committee under the Board of Directors</w:t>
            </w:r>
            <w:r w:rsidRPr="00C112C9">
              <w:rPr>
                <w:color w:val="000000" w:themeColor="text1"/>
                <w:lang w:val="en-US" w:eastAsia="en-US"/>
              </w:rPr>
              <w:t>.</w:t>
            </w:r>
          </w:p>
          <w:p w:rsidR="00544B6C" w:rsidRPr="00D21A4D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5.1.</w:t>
            </w:r>
            <w:r w:rsidRPr="00D21A4D">
              <w:rPr>
                <w:color w:val="000000" w:themeColor="text1"/>
                <w:lang w:val="en-US" w:eastAsia="en-US"/>
              </w:rPr>
              <w:t xml:space="preserve"> To approve the new </w:t>
            </w:r>
            <w:r>
              <w:rPr>
                <w:color w:val="000000" w:themeColor="text1"/>
                <w:lang w:val="en-US" w:eastAsia="en-US"/>
              </w:rPr>
              <w:t xml:space="preserve">edition of </w:t>
            </w:r>
            <w:r w:rsidRPr="00D21A4D">
              <w:rPr>
                <w:color w:val="000000" w:themeColor="text1"/>
                <w:lang w:val="en-US" w:eastAsia="en-US"/>
              </w:rPr>
              <w:t xml:space="preserve">the Regulations on the </w:t>
            </w:r>
            <w:r>
              <w:rPr>
                <w:color w:val="000000" w:themeColor="text1"/>
                <w:lang w:val="en-US" w:eastAsia="en-US"/>
              </w:rPr>
              <w:t>Technological Connection</w:t>
            </w:r>
            <w:r w:rsidRPr="00D21A4D">
              <w:rPr>
                <w:color w:val="000000" w:themeColor="text1"/>
                <w:lang w:val="en-US" w:eastAsia="en-US"/>
              </w:rPr>
              <w:t xml:space="preserve"> Committee under the Board of Directors of Kubanenergo</w:t>
            </w:r>
            <w:r>
              <w:rPr>
                <w:color w:val="000000" w:themeColor="text1"/>
                <w:lang w:val="en-US" w:eastAsia="en-US"/>
              </w:rPr>
              <w:t xml:space="preserve"> PJSC</w:t>
            </w:r>
            <w:r w:rsidRPr="00D21A4D">
              <w:rPr>
                <w:color w:val="000000" w:themeColor="text1"/>
                <w:lang w:val="en-US" w:eastAsia="en-US"/>
              </w:rPr>
              <w:t xml:space="preserve">, in accordance with </w:t>
            </w:r>
            <w:r>
              <w:rPr>
                <w:color w:val="000000" w:themeColor="text1"/>
                <w:lang w:val="en-US" w:eastAsia="en-US"/>
              </w:rPr>
              <w:t>Annex</w:t>
            </w:r>
            <w:r w:rsidRPr="00D21A4D">
              <w:rPr>
                <w:color w:val="000000" w:themeColor="text1"/>
                <w:lang w:val="en-US" w:eastAsia="en-US"/>
              </w:rPr>
              <w:t xml:space="preserve"> 1</w:t>
            </w:r>
            <w:r>
              <w:rPr>
                <w:color w:val="000000" w:themeColor="text1"/>
                <w:lang w:val="en-US" w:eastAsia="en-US"/>
              </w:rPr>
              <w:t>1</w:t>
            </w:r>
            <w:r w:rsidRPr="00D21A4D">
              <w:rPr>
                <w:color w:val="000000" w:themeColor="text1"/>
                <w:lang w:val="en-US" w:eastAsia="en-US"/>
              </w:rPr>
              <w:t xml:space="preserve"> to this decision of the Board of Directors.</w:t>
            </w:r>
          </w:p>
          <w:p w:rsidR="00544B6C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5</w:t>
            </w:r>
            <w:r w:rsidRPr="00D21A4D">
              <w:rPr>
                <w:color w:val="000000" w:themeColor="text1"/>
                <w:lang w:val="en-US" w:eastAsia="en-US"/>
              </w:rPr>
              <w:t xml:space="preserve">.2. </w:t>
            </w:r>
            <w:r>
              <w:rPr>
                <w:color w:val="000000" w:themeColor="text1"/>
                <w:lang w:val="en-US" w:eastAsia="en-US"/>
              </w:rPr>
              <w:t>To c</w:t>
            </w:r>
            <w:r w:rsidRPr="00D21A4D">
              <w:rPr>
                <w:color w:val="000000" w:themeColor="text1"/>
                <w:lang w:val="en-US" w:eastAsia="en-US"/>
              </w:rPr>
              <w:t xml:space="preserve">onsider the Regulations on the </w:t>
            </w:r>
            <w:r>
              <w:rPr>
                <w:color w:val="000000" w:themeColor="text1"/>
                <w:lang w:val="en-US" w:eastAsia="en-US"/>
              </w:rPr>
              <w:t>Technological Connection</w:t>
            </w:r>
            <w:r w:rsidRPr="00D21A4D">
              <w:rPr>
                <w:color w:val="000000" w:themeColor="text1"/>
                <w:lang w:val="en-US" w:eastAsia="en-US"/>
              </w:rPr>
              <w:t xml:space="preserve"> Committee </w:t>
            </w:r>
            <w:r>
              <w:rPr>
                <w:color w:val="000000" w:themeColor="text1"/>
                <w:lang w:val="en-US" w:eastAsia="en-US"/>
              </w:rPr>
              <w:t>under</w:t>
            </w:r>
            <w:r w:rsidRPr="00D21A4D">
              <w:rPr>
                <w:color w:val="000000" w:themeColor="text1"/>
                <w:lang w:val="en-US" w:eastAsia="en-US"/>
              </w:rPr>
              <w:t xml:space="preserve"> the Board of Directors of Kubanenergo approved by the decision of the Board of Directors of the Company </w:t>
            </w:r>
            <w:r>
              <w:rPr>
                <w:color w:val="000000" w:themeColor="text1"/>
                <w:lang w:val="en-US" w:eastAsia="en-US"/>
              </w:rPr>
              <w:t>on 04.09.2015 (Minutes of meeting No.2</w:t>
            </w:r>
            <w:r w:rsidRPr="00D21A4D">
              <w:rPr>
                <w:color w:val="000000" w:themeColor="text1"/>
                <w:lang w:val="en-US" w:eastAsia="en-US"/>
              </w:rPr>
              <w:t xml:space="preserve">19/2015 </w:t>
            </w:r>
            <w:proofErr w:type="spellStart"/>
            <w:r>
              <w:rPr>
                <w:color w:val="000000" w:themeColor="text1"/>
                <w:lang w:val="en-US" w:eastAsia="en-US"/>
              </w:rPr>
              <w:t>dd</w:t>
            </w:r>
            <w:proofErr w:type="spellEnd"/>
            <w:r w:rsidRPr="00D21A4D">
              <w:rPr>
                <w:color w:val="000000" w:themeColor="text1"/>
                <w:lang w:val="en-US" w:eastAsia="en-US"/>
              </w:rPr>
              <w:t xml:space="preserve"> 07.09.2015)</w:t>
            </w:r>
            <w:r>
              <w:rPr>
                <w:color w:val="000000" w:themeColor="text1"/>
                <w:lang w:val="en-US" w:eastAsia="en-US"/>
              </w:rPr>
              <w:t xml:space="preserve"> as no longer valid</w:t>
            </w:r>
            <w:r w:rsidRPr="00D21A4D">
              <w:rPr>
                <w:color w:val="000000" w:themeColor="text1"/>
                <w:lang w:val="en-US" w:eastAsia="en-US"/>
              </w:rPr>
              <w:t>.</w:t>
            </w:r>
          </w:p>
          <w:p w:rsidR="00544B6C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5.3. </w:t>
            </w:r>
            <w:r w:rsidRPr="00D21A4D">
              <w:rPr>
                <w:color w:val="000000" w:themeColor="text1"/>
                <w:lang w:val="en-US" w:eastAsia="en-US"/>
              </w:rPr>
              <w:t xml:space="preserve">To decide that the </w:t>
            </w:r>
            <w:r>
              <w:rPr>
                <w:color w:val="000000" w:themeColor="text1"/>
                <w:lang w:val="en-US" w:eastAsia="en-US"/>
              </w:rPr>
              <w:t>Technological Connection</w:t>
            </w:r>
            <w:r w:rsidRPr="00D21A4D">
              <w:rPr>
                <w:color w:val="000000" w:themeColor="text1"/>
                <w:lang w:val="en-US" w:eastAsia="en-US"/>
              </w:rPr>
              <w:t xml:space="preserve"> Committee under the Board of Directors shall consist of </w:t>
            </w:r>
            <w:r>
              <w:rPr>
                <w:color w:val="000000" w:themeColor="text1"/>
                <w:lang w:val="en-US" w:eastAsia="en-US"/>
              </w:rPr>
              <w:t>3</w:t>
            </w:r>
            <w:r w:rsidRPr="00D21A4D">
              <w:rPr>
                <w:color w:val="000000" w:themeColor="text1"/>
                <w:lang w:val="en-US" w:eastAsia="en-US"/>
              </w:rPr>
              <w:t xml:space="preserve"> (</w:t>
            </w:r>
            <w:r>
              <w:rPr>
                <w:color w:val="000000" w:themeColor="text1"/>
                <w:lang w:val="en-US" w:eastAsia="en-US"/>
              </w:rPr>
              <w:t>three</w:t>
            </w:r>
            <w:r w:rsidRPr="00D21A4D">
              <w:rPr>
                <w:color w:val="000000" w:themeColor="text1"/>
                <w:lang w:val="en-US" w:eastAsia="en-US"/>
              </w:rPr>
              <w:t>) persons.</w:t>
            </w:r>
          </w:p>
          <w:p w:rsidR="00544B6C" w:rsidRPr="00D21A4D" w:rsidRDefault="00544B6C" w:rsidP="00544B6C">
            <w:pPr>
              <w:tabs>
                <w:tab w:val="left" w:pos="142"/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5.4. </w:t>
            </w:r>
            <w:r w:rsidRPr="00C112C9">
              <w:rPr>
                <w:color w:val="000000" w:themeColor="text1"/>
                <w:lang w:val="en-US" w:eastAsia="en-US"/>
              </w:rPr>
              <w:t xml:space="preserve">To elect the following </w:t>
            </w:r>
            <w:r>
              <w:rPr>
                <w:color w:val="000000" w:themeColor="text1"/>
                <w:lang w:val="en-US" w:eastAsia="en-US"/>
              </w:rPr>
              <w:t xml:space="preserve">persons to </w:t>
            </w:r>
            <w:r w:rsidRPr="00D21A4D">
              <w:rPr>
                <w:color w:val="000000" w:themeColor="text1"/>
                <w:lang w:val="en-US" w:eastAsia="en-US"/>
              </w:rPr>
              <w:t xml:space="preserve">the </w:t>
            </w:r>
            <w:r>
              <w:rPr>
                <w:color w:val="000000" w:themeColor="text1"/>
                <w:lang w:val="en-US" w:eastAsia="en-US"/>
              </w:rPr>
              <w:t>Technological Connection</w:t>
            </w:r>
            <w:r w:rsidRPr="00D21A4D">
              <w:rPr>
                <w:color w:val="000000" w:themeColor="text1"/>
                <w:lang w:val="en-US" w:eastAsia="en-US"/>
              </w:rPr>
              <w:t xml:space="preserve"> Committee under the Board of Directors</w:t>
            </w:r>
            <w:r w:rsidRPr="00C112C9">
              <w:rPr>
                <w:color w:val="000000" w:themeColor="text1"/>
                <w:lang w:val="en-US" w:eastAsia="en-US"/>
              </w:rPr>
              <w:t>:</w:t>
            </w:r>
          </w:p>
          <w:tbl>
            <w:tblPr>
              <w:tblStyle w:val="a7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6"/>
              <w:gridCol w:w="2556"/>
              <w:gridCol w:w="6521"/>
            </w:tblGrid>
            <w:tr w:rsidR="00544B6C" w:rsidRPr="00753AD3" w:rsidTr="004025C8">
              <w:tc>
                <w:tcPr>
                  <w:tcW w:w="0" w:type="auto"/>
                </w:tcPr>
                <w:p w:rsidR="00544B6C" w:rsidRPr="00753AD3" w:rsidRDefault="00544B6C" w:rsidP="00544B6C">
                  <w:r w:rsidRPr="00753AD3">
                    <w:t>#</w:t>
                  </w:r>
                </w:p>
              </w:tc>
              <w:tc>
                <w:tcPr>
                  <w:tcW w:w="0" w:type="auto"/>
                </w:tcPr>
                <w:p w:rsidR="00544B6C" w:rsidRPr="00753AD3" w:rsidRDefault="00544B6C" w:rsidP="00544B6C">
                  <w:proofErr w:type="spellStart"/>
                  <w:r w:rsidRPr="00753AD3">
                    <w:t>Candidate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753AD3" w:rsidRDefault="00544B6C" w:rsidP="00544B6C">
                  <w:proofErr w:type="spellStart"/>
                  <w:r w:rsidRPr="00753AD3">
                    <w:t>Employment</w:t>
                  </w:r>
                  <w:proofErr w:type="spellEnd"/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753AD3" w:rsidRDefault="00544B6C" w:rsidP="00544B6C">
                  <w:r w:rsidRPr="00753AD3">
                    <w:t>1</w:t>
                  </w:r>
                </w:p>
              </w:tc>
              <w:tc>
                <w:tcPr>
                  <w:tcW w:w="0" w:type="auto"/>
                </w:tcPr>
                <w:p w:rsidR="00544B6C" w:rsidRPr="00753AD3" w:rsidRDefault="00544B6C" w:rsidP="00544B6C">
                  <w:proofErr w:type="spellStart"/>
                  <w:r w:rsidRPr="00753AD3">
                    <w:t>Varvarin</w:t>
                  </w:r>
                  <w:proofErr w:type="spellEnd"/>
                  <w:r w:rsidRPr="00753AD3">
                    <w:t xml:space="preserve"> </w:t>
                  </w:r>
                  <w:proofErr w:type="spellStart"/>
                  <w:r w:rsidRPr="00753AD3">
                    <w:t>Aleksandr</w:t>
                  </w:r>
                  <w:proofErr w:type="spellEnd"/>
                  <w:r w:rsidRPr="00753AD3">
                    <w:t xml:space="preserve"> </w:t>
                  </w:r>
                  <w:proofErr w:type="spellStart"/>
                  <w:r w:rsidRPr="00753AD3">
                    <w:t>Viktorovich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>Vice-president - Managing Director in charge of Corporate Relations and Legal Support, Russian Union of Industrialists and Entrepreneurs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753AD3" w:rsidRDefault="00544B6C" w:rsidP="00544B6C">
                  <w:r w:rsidRPr="00753AD3">
                    <w:t>2</w:t>
                  </w:r>
                </w:p>
              </w:tc>
              <w:tc>
                <w:tcPr>
                  <w:tcW w:w="0" w:type="auto"/>
                </w:tcPr>
                <w:p w:rsidR="00544B6C" w:rsidRPr="00753AD3" w:rsidRDefault="00544B6C" w:rsidP="00544B6C">
                  <w:proofErr w:type="spellStart"/>
                  <w:r w:rsidRPr="00753AD3">
                    <w:t>Korneyev</w:t>
                  </w:r>
                  <w:proofErr w:type="spellEnd"/>
                  <w:r w:rsidRPr="00753AD3">
                    <w:t> </w:t>
                  </w:r>
                  <w:proofErr w:type="spellStart"/>
                  <w:r w:rsidRPr="00753AD3">
                    <w:t>Alexandr</w:t>
                  </w:r>
                  <w:proofErr w:type="spellEnd"/>
                  <w:r w:rsidRPr="00753AD3">
                    <w:t xml:space="preserve"> </w:t>
                  </w:r>
                  <w:proofErr w:type="spellStart"/>
                  <w:r w:rsidRPr="00753AD3">
                    <w:t>Yurievich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>Head of Department of Perspective Development of Grids and Technological Connection, Rosseti PJSC</w:t>
                  </w:r>
                </w:p>
              </w:tc>
            </w:tr>
            <w:tr w:rsidR="00544B6C" w:rsidRPr="00544B6C" w:rsidTr="004025C8">
              <w:tc>
                <w:tcPr>
                  <w:tcW w:w="0" w:type="auto"/>
                  <w:hideMark/>
                </w:tcPr>
                <w:p w:rsidR="00544B6C" w:rsidRPr="00753AD3" w:rsidRDefault="00544B6C" w:rsidP="00544B6C">
                  <w:r w:rsidRPr="00753AD3">
                    <w:t>3</w:t>
                  </w:r>
                </w:p>
              </w:tc>
              <w:tc>
                <w:tcPr>
                  <w:tcW w:w="0" w:type="auto"/>
                </w:tcPr>
                <w:p w:rsidR="00544B6C" w:rsidRPr="00753AD3" w:rsidRDefault="00544B6C" w:rsidP="00544B6C">
                  <w:proofErr w:type="spellStart"/>
                  <w:r w:rsidRPr="00753AD3">
                    <w:t>Denezhnaya</w:t>
                  </w:r>
                  <w:proofErr w:type="spellEnd"/>
                  <w:r w:rsidRPr="00753AD3">
                    <w:t xml:space="preserve"> </w:t>
                  </w:r>
                  <w:proofErr w:type="spellStart"/>
                  <w:r w:rsidRPr="00753AD3">
                    <w:t>Natalia</w:t>
                  </w:r>
                  <w:proofErr w:type="spellEnd"/>
                  <w:r w:rsidRPr="00753AD3">
                    <w:t xml:space="preserve"> </w:t>
                  </w:r>
                  <w:proofErr w:type="spellStart"/>
                  <w:r w:rsidRPr="00753AD3">
                    <w:t>Vladimirovna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544B6C" w:rsidRPr="00544B6C" w:rsidRDefault="00544B6C" w:rsidP="00544B6C">
                  <w:pPr>
                    <w:rPr>
                      <w:lang w:val="en-US"/>
                    </w:rPr>
                  </w:pPr>
                  <w:r w:rsidRPr="00544B6C">
                    <w:rPr>
                      <w:lang w:val="en-US"/>
                    </w:rPr>
                    <w:t xml:space="preserve">Chief Expert of the Department for Regulation of Technological Connection under the Department </w:t>
                  </w:r>
                  <w:proofErr w:type="spellStart"/>
                  <w:r w:rsidRPr="00544B6C">
                    <w:rPr>
                      <w:lang w:val="en-US"/>
                    </w:rPr>
                    <w:t>oPerspective</w:t>
                  </w:r>
                  <w:proofErr w:type="spellEnd"/>
                  <w:r w:rsidRPr="00544B6C">
                    <w:rPr>
                      <w:lang w:val="en-US"/>
                    </w:rPr>
                    <w:t xml:space="preserve"> Development of Grids and Technological Connection, Rosseti PJSC</w:t>
                  </w:r>
                </w:p>
              </w:tc>
            </w:tr>
          </w:tbl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753AD3">
              <w:rPr>
                <w:color w:val="000000" w:themeColor="text1"/>
                <w:lang w:val="en-US" w:eastAsia="en-US"/>
              </w:rPr>
              <w:t xml:space="preserve">To appoint </w:t>
            </w:r>
            <w:proofErr w:type="spellStart"/>
            <w:r w:rsidRPr="00753AD3">
              <w:rPr>
                <w:lang w:val="en-US"/>
              </w:rPr>
              <w:t>Varvarin</w:t>
            </w:r>
            <w:proofErr w:type="spellEnd"/>
            <w:r w:rsidRPr="00753AD3">
              <w:rPr>
                <w:lang w:val="en-US"/>
              </w:rPr>
              <w:t xml:space="preserve"> </w:t>
            </w:r>
            <w:proofErr w:type="spellStart"/>
            <w:r w:rsidRPr="00753AD3">
              <w:rPr>
                <w:lang w:val="en-US"/>
              </w:rPr>
              <w:t>Aleksandr</w:t>
            </w:r>
            <w:proofErr w:type="spellEnd"/>
            <w:r w:rsidRPr="00753AD3">
              <w:rPr>
                <w:lang w:val="en-US"/>
              </w:rPr>
              <w:t xml:space="preserve"> </w:t>
            </w:r>
            <w:proofErr w:type="spellStart"/>
            <w:r w:rsidRPr="00753AD3">
              <w:rPr>
                <w:lang w:val="en-US"/>
              </w:rPr>
              <w:t>Viktorovich</w:t>
            </w:r>
            <w:proofErr w:type="spellEnd"/>
            <w:r w:rsidRPr="00753AD3">
              <w:rPr>
                <w:lang w:val="en-US"/>
              </w:rPr>
              <w:t xml:space="preserve"> as Chairperson of </w:t>
            </w:r>
            <w:r w:rsidRPr="00753AD3">
              <w:rPr>
                <w:color w:val="000000" w:themeColor="text1"/>
                <w:lang w:val="en-US" w:eastAsia="en-US"/>
              </w:rPr>
              <w:t xml:space="preserve">the </w:t>
            </w:r>
            <w:r>
              <w:rPr>
                <w:color w:val="000000" w:themeColor="text1"/>
                <w:lang w:val="en-US" w:eastAsia="en-US"/>
              </w:rPr>
              <w:t>Technological Connection</w:t>
            </w:r>
            <w:r w:rsidRPr="00D21A4D">
              <w:rPr>
                <w:color w:val="000000" w:themeColor="text1"/>
                <w:lang w:val="en-US" w:eastAsia="en-US"/>
              </w:rPr>
              <w:t xml:space="preserve"> Committee </w:t>
            </w:r>
            <w:r w:rsidRPr="00753AD3">
              <w:rPr>
                <w:color w:val="000000" w:themeColor="text1"/>
                <w:lang w:val="en-US" w:eastAsia="en-US"/>
              </w:rPr>
              <w:t>e under the Board of Directors.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12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introducing amendments to the Regulations on material incentives for the Director General of the Company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12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Default="00544B6C" w:rsidP="00544B6C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103AE4">
              <w:rPr>
                <w:color w:val="000000" w:themeColor="text1"/>
                <w:lang w:val="en-US" w:eastAsia="en-US"/>
              </w:rPr>
              <w:lastRenderedPageBreak/>
              <w:t xml:space="preserve">To introduce </w:t>
            </w:r>
            <w:r w:rsidRPr="00103AE4">
              <w:rPr>
                <w:lang w:val="en-US" w:eastAsia="en-US"/>
              </w:rPr>
              <w:t>amendments to the Regulations on material incentives for the Director General of the Company</w:t>
            </w:r>
            <w:r w:rsidRPr="00103AE4">
              <w:rPr>
                <w:color w:val="000000" w:themeColor="text1"/>
                <w:lang w:val="en-US" w:eastAsia="en-US"/>
              </w:rPr>
              <w:t>, in accordance with Annex 1</w:t>
            </w:r>
            <w:r>
              <w:rPr>
                <w:color w:val="000000" w:themeColor="text1"/>
                <w:lang w:val="en-US" w:eastAsia="en-US"/>
              </w:rPr>
              <w:t>2</w:t>
            </w:r>
            <w:r w:rsidRPr="00103AE4">
              <w:rPr>
                <w:color w:val="000000" w:themeColor="text1"/>
                <w:lang w:val="en-US" w:eastAsia="en-US"/>
              </w:rPr>
              <w:t xml:space="preserve"> to this decision of the Board of Directors.</w:t>
            </w:r>
          </w:p>
          <w:p w:rsidR="00544B6C" w:rsidRPr="00544B6C" w:rsidRDefault="00544B6C" w:rsidP="00544B6C">
            <w:pPr>
              <w:pStyle w:val="a6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544B6C">
              <w:rPr>
                <w:color w:val="000000" w:themeColor="text1"/>
                <w:lang w:val="en-US" w:eastAsia="en-US"/>
              </w:rPr>
              <w:t>The date of entry into force of amendments to the Regulations specified in clause 1 of this resolution of the Board of Directors of the Company: 01.01.2017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lastRenderedPageBreak/>
              <w:t>Disclosure of insider information</w:t>
            </w:r>
          </w:p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b/>
                <w:color w:val="000000" w:themeColor="text1"/>
                <w:lang w:val="en-US" w:eastAsia="en-US"/>
              </w:rPr>
              <w:t>Item No.</w:t>
            </w:r>
            <w:r>
              <w:rPr>
                <w:b/>
                <w:color w:val="000000" w:themeColor="text1"/>
                <w:lang w:val="en-US" w:eastAsia="en-US"/>
              </w:rPr>
              <w:t>13</w:t>
            </w:r>
            <w:r>
              <w:rPr>
                <w:b/>
                <w:color w:val="000000" w:themeColor="text1"/>
                <w:lang w:val="en-US" w:eastAsia="en-US"/>
              </w:rPr>
              <w:t xml:space="preserve"> “</w:t>
            </w:r>
            <w:r w:rsidRPr="00E52EDB">
              <w:rPr>
                <w:b/>
                <w:lang w:val="en-US" w:eastAsia="en-US"/>
              </w:rPr>
              <w:t>On discussion of report submitted by the Director General of the Company on the process of implementation of the registry (plan of sales) on non-core assets in the 2nd quarter of 2017 and update of the registry (programme of sale) of non-core assets of Kubanenergo PJSC</w:t>
            </w:r>
            <w:r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544B6C" w:rsidRPr="00544B6C" w:rsidTr="004025C8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6C" w:rsidRPr="00BB179C" w:rsidRDefault="00544B6C" w:rsidP="00544B6C">
            <w:pPr>
              <w:jc w:val="both"/>
              <w:rPr>
                <w:color w:val="000000" w:themeColor="text1"/>
                <w:lang w:val="en-US" w:eastAsia="en-US"/>
              </w:rPr>
            </w:pPr>
            <w:r w:rsidRPr="00BB179C">
              <w:rPr>
                <w:color w:val="000000" w:themeColor="text1"/>
                <w:lang w:val="en-US" w:eastAsia="en-US"/>
              </w:rPr>
              <w:t>2.2.</w:t>
            </w:r>
            <w:r>
              <w:rPr>
                <w:color w:val="000000" w:themeColor="text1"/>
                <w:lang w:val="en-US" w:eastAsia="en-US"/>
              </w:rPr>
              <w:t>13</w:t>
            </w:r>
            <w:r w:rsidRPr="00BB179C">
              <w:rPr>
                <w:color w:val="000000" w:themeColor="text1"/>
                <w:lang w:val="en-US" w:eastAsia="en-US"/>
              </w:rPr>
              <w:t>.  Decision adopted by issuer’s Board of Directors:</w:t>
            </w:r>
          </w:p>
          <w:p w:rsidR="00544B6C" w:rsidRDefault="00544B6C" w:rsidP="00544B6C">
            <w:pPr>
              <w:pStyle w:val="a6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103AE4">
              <w:rPr>
                <w:color w:val="000000" w:themeColor="text1"/>
                <w:lang w:val="en-US" w:eastAsia="en-US"/>
              </w:rPr>
              <w:t>To take into consideratio</w:t>
            </w:r>
            <w:bookmarkStart w:id="0" w:name="_GoBack"/>
            <w:bookmarkEnd w:id="0"/>
            <w:r w:rsidRPr="00103AE4">
              <w:rPr>
                <w:color w:val="000000" w:themeColor="text1"/>
                <w:lang w:val="en-US" w:eastAsia="en-US"/>
              </w:rPr>
              <w:t xml:space="preserve">n the report </w:t>
            </w:r>
            <w:r w:rsidRPr="00103AE4">
              <w:rPr>
                <w:lang w:val="en-US" w:eastAsia="en-US"/>
              </w:rPr>
              <w:t>on the process of implementation of the registry (plan of sales) on non-core assets in the 2nd quarter of 2017</w:t>
            </w:r>
            <w:r w:rsidRPr="00103AE4">
              <w:rPr>
                <w:color w:val="000000" w:themeColor="text1"/>
                <w:lang w:val="en-US" w:eastAsia="en-US"/>
              </w:rPr>
              <w:t>, in accordance with Annex 13 to this decision of the Board of Directors.</w:t>
            </w:r>
          </w:p>
          <w:p w:rsidR="00544B6C" w:rsidRPr="00544B6C" w:rsidRDefault="00544B6C" w:rsidP="00544B6C">
            <w:pPr>
              <w:pStyle w:val="a6"/>
              <w:numPr>
                <w:ilvl w:val="0"/>
                <w:numId w:val="8"/>
              </w:numPr>
              <w:tabs>
                <w:tab w:val="left" w:pos="142"/>
                <w:tab w:val="left" w:pos="284"/>
              </w:tabs>
              <w:spacing w:before="120"/>
              <w:jc w:val="both"/>
              <w:rPr>
                <w:color w:val="000000" w:themeColor="text1"/>
                <w:lang w:val="en-US" w:eastAsia="en-US"/>
              </w:rPr>
            </w:pPr>
            <w:r w:rsidRPr="00CD1CC7">
              <w:rPr>
                <w:color w:val="000000" w:themeColor="text1"/>
                <w:lang w:val="en-US" w:eastAsia="en-US"/>
              </w:rPr>
              <w:t xml:space="preserve">To </w:t>
            </w:r>
            <w:r w:rsidRPr="00CD1CC7">
              <w:rPr>
                <w:lang w:val="en-US" w:eastAsia="en-US"/>
              </w:rPr>
              <w:t>update of the registry (programme of sale) of the Company’s non-core assets</w:t>
            </w:r>
            <w:r w:rsidRPr="00103AE4">
              <w:rPr>
                <w:color w:val="000000" w:themeColor="text1"/>
                <w:lang w:val="en-US" w:eastAsia="en-US"/>
              </w:rPr>
              <w:t>, in accordance with Annex 1</w:t>
            </w:r>
            <w:r>
              <w:rPr>
                <w:color w:val="000000" w:themeColor="text1"/>
                <w:lang w:val="en-US" w:eastAsia="en-US"/>
              </w:rPr>
              <w:t>4</w:t>
            </w:r>
            <w:r w:rsidRPr="00103AE4">
              <w:rPr>
                <w:color w:val="000000" w:themeColor="text1"/>
                <w:lang w:val="en-US" w:eastAsia="en-US"/>
              </w:rPr>
              <w:t xml:space="preserve"> to this decision of the Board of Directors.</w:t>
            </w:r>
          </w:p>
        </w:tc>
      </w:tr>
      <w:tr w:rsidR="00544B6C" w:rsidRPr="00544B6C" w:rsidTr="004025C8">
        <w:trPr>
          <w:trHeight w:val="185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6C" w:rsidRDefault="00544B6C" w:rsidP="004025C8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2.3. Date of holding the meeting of the Board of Directors which adopted the resolutions:</w:t>
            </w:r>
            <w:r w:rsidRPr="00BB17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BB17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19 July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544B6C" w:rsidRDefault="00544B6C" w:rsidP="004025C8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>
              <w:rPr>
                <w:b/>
                <w:color w:val="000000" w:themeColor="text1"/>
                <w:lang w:val="en-US" w:eastAsia="en-US"/>
              </w:rPr>
              <w:t>21 July 2017, minutes of meeting No.281/2017.</w:t>
            </w:r>
          </w:p>
        </w:tc>
      </w:tr>
    </w:tbl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984"/>
        <w:gridCol w:w="2155"/>
      </w:tblGrid>
      <w:tr w:rsidR="00544B6C" w:rsidTr="004025C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44B6C" w:rsidRDefault="00544B6C" w:rsidP="004025C8">
            <w:pPr>
              <w:spacing w:line="254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544B6C" w:rsidTr="004025C8">
        <w:trPr>
          <w:cantSplit/>
          <w:trHeight w:val="118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B6C" w:rsidRDefault="00544B6C" w:rsidP="004025C8">
            <w:pPr>
              <w:pStyle w:val="Default"/>
              <w:spacing w:line="254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3.1  Head of Corporate Governance and Shareholders Relations Department (by power of attorney No.119/10-337 dated 17.01.2017)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B6C" w:rsidRDefault="00544B6C" w:rsidP="004025C8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_______________</w:t>
            </w:r>
          </w:p>
          <w:p w:rsidR="00544B6C" w:rsidRDefault="00544B6C" w:rsidP="004025C8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4B6C" w:rsidRDefault="00544B6C" w:rsidP="004025C8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Didenko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 w:eastAsia="en-US"/>
              </w:rPr>
              <w:t>Ye.Ye</w:t>
            </w:r>
            <w:proofErr w:type="spellEnd"/>
            <w:r>
              <w:rPr>
                <w:color w:val="000000" w:themeColor="text1"/>
                <w:lang w:val="en-US" w:eastAsia="en-US"/>
              </w:rPr>
              <w:t>.</w:t>
            </w:r>
          </w:p>
          <w:p w:rsidR="00544B6C" w:rsidRDefault="00544B6C" w:rsidP="004025C8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544B6C" w:rsidTr="004025C8">
        <w:trPr>
          <w:cantSplit/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B6C" w:rsidRDefault="00544B6C" w:rsidP="00544B6C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3.2 Date: </w:t>
            </w:r>
            <w:r>
              <w:rPr>
                <w:color w:val="000000" w:themeColor="text1"/>
                <w:lang w:val="en-US" w:eastAsia="en-US"/>
              </w:rPr>
              <w:t>2 August</w:t>
            </w:r>
            <w:r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544B6C" w:rsidRDefault="00544B6C" w:rsidP="004025C8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44B6C" w:rsidRDefault="00544B6C" w:rsidP="004025C8">
            <w:pPr>
              <w:spacing w:line="254" w:lineRule="auto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544B6C" w:rsidRDefault="00544B6C" w:rsidP="00544B6C"/>
    <w:p w:rsidR="00544B6C" w:rsidRDefault="00544B6C" w:rsidP="00544B6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3355139B"/>
    <w:multiLevelType w:val="hybridMultilevel"/>
    <w:tmpl w:val="BBFC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7E3A"/>
    <w:multiLevelType w:val="multilevel"/>
    <w:tmpl w:val="46348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66536B"/>
    <w:multiLevelType w:val="multilevel"/>
    <w:tmpl w:val="F7844A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C370E5"/>
    <w:multiLevelType w:val="multilevel"/>
    <w:tmpl w:val="910AA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5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2CD10AA"/>
    <w:multiLevelType w:val="multilevel"/>
    <w:tmpl w:val="DAFCA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C05BC2"/>
    <w:multiLevelType w:val="hybridMultilevel"/>
    <w:tmpl w:val="BF4E9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6C"/>
    <w:rsid w:val="00544B6C"/>
    <w:rsid w:val="0059029B"/>
    <w:rsid w:val="0062058F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8500"/>
  <w15:chartTrackingRefBased/>
  <w15:docId w15:val="{24F2687F-227E-4888-A45E-835CB226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4B6C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544B6C"/>
  </w:style>
  <w:style w:type="paragraph" w:styleId="a5">
    <w:name w:val="No Spacing"/>
    <w:link w:val="a4"/>
    <w:uiPriority w:val="1"/>
    <w:qFormat/>
    <w:rsid w:val="00544B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44B6C"/>
    <w:pPr>
      <w:ind w:left="720"/>
      <w:contextualSpacing/>
    </w:pPr>
  </w:style>
  <w:style w:type="paragraph" w:customStyle="1" w:styleId="Default">
    <w:name w:val="Default"/>
    <w:rsid w:val="00544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44B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2368</Words>
  <Characters>13504</Characters>
  <Application>Microsoft Office Word</Application>
  <DocSecurity>0</DocSecurity>
  <Lines>112</Lines>
  <Paragraphs>31</Paragraphs>
  <ScaleCrop>false</ScaleCrop>
  <Company>Home</Company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2017-08-05T17:08:00Z</dcterms:created>
  <dcterms:modified xsi:type="dcterms:W3CDTF">2017-08-05T17:18:00Z</dcterms:modified>
</cp:coreProperties>
</file>