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99" w:rsidRDefault="007E2499" w:rsidP="007E249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7E2499" w:rsidRDefault="007E2499" w:rsidP="007E249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7E2499" w:rsidRDefault="007E2499" w:rsidP="007E249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7E2499" w:rsidTr="0037340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7E2499" w:rsidRPr="007E2499" w:rsidTr="0037340F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7E2499" w:rsidTr="003734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7E2499" w:rsidTr="003734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7E2499" w:rsidTr="003734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7E2499" w:rsidTr="003734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7E2499" w:rsidTr="003734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7E2499" w:rsidRPr="007E2499" w:rsidTr="003734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9" w:rsidRPr="00720413" w:rsidRDefault="007E2499" w:rsidP="0037340F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7E2499" w:rsidRPr="00720413" w:rsidRDefault="007E2499" w:rsidP="0037340F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7E2499" w:rsidTr="0037340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2499" w:rsidRDefault="007E2499" w:rsidP="0037340F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7E2499" w:rsidRPr="007E2499" w:rsidTr="0037340F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2499" w:rsidRDefault="007E2499" w:rsidP="007E249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11 May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7E2499" w:rsidRPr="007E2499" w:rsidTr="0037340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2499" w:rsidRDefault="007E2499" w:rsidP="007E249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23 May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7E2499" w:rsidRPr="007E2499" w:rsidTr="0037340F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2499" w:rsidRDefault="007E2499" w:rsidP="0037340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</w:t>
            </w:r>
            <w:r w:rsidRPr="00720413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meeting of the issuer’s Board of Director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s</w:t>
            </w:r>
            <w:r>
              <w:rPr>
                <w:sz w:val="24"/>
                <w:szCs w:val="24"/>
                <w:lang w:val="en-US" w:eastAsia="en-US"/>
              </w:rPr>
              <w:t xml:space="preserve"> (additional items)</w:t>
            </w:r>
            <w:r>
              <w:rPr>
                <w:sz w:val="24"/>
                <w:szCs w:val="24"/>
                <w:lang w:val="en-US" w:eastAsia="en-US"/>
              </w:rPr>
              <w:t>:</w:t>
            </w:r>
          </w:p>
          <w:p w:rsidR="007E2499" w:rsidRDefault="007E2499" w:rsidP="003734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9. On approval of corporate structure of executive office of Kubanenergo PJSC.</w:t>
            </w:r>
          </w:p>
          <w:p w:rsidR="007E2499" w:rsidRDefault="007E2499" w:rsidP="007E249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10. On approval of candidates for </w:t>
            </w:r>
            <w:r>
              <w:rPr>
                <w:sz w:val="24"/>
                <w:szCs w:val="24"/>
                <w:lang w:val="en-US" w:eastAsia="en-US"/>
              </w:rPr>
              <w:t>approved by the Board of Directors</w:t>
            </w:r>
            <w:r>
              <w:rPr>
                <w:sz w:val="24"/>
                <w:szCs w:val="24"/>
                <w:lang w:val="en-US" w:eastAsia="en-US"/>
              </w:rPr>
              <w:t xml:space="preserve"> particular posts in the Company’s executive office. </w:t>
            </w:r>
          </w:p>
        </w:tc>
      </w:tr>
      <w:tr w:rsidR="007E2499" w:rsidTr="0037340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2499" w:rsidRDefault="007E2499" w:rsidP="0037340F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7E2499" w:rsidTr="0037340F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E2499" w:rsidRDefault="007E2499" w:rsidP="0037340F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E2499" w:rsidRDefault="007E2499" w:rsidP="0037340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7E2499" w:rsidRDefault="007E2499" w:rsidP="0037340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E2499" w:rsidRDefault="007E2499" w:rsidP="0037340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7E2499" w:rsidRDefault="007E2499" w:rsidP="0037340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7E2499" w:rsidTr="0037340F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E2499" w:rsidRDefault="007E2499" w:rsidP="007E249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11 May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E2499" w:rsidRDefault="007E2499" w:rsidP="0037340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E2499" w:rsidRDefault="007E2499" w:rsidP="0037340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7E2499" w:rsidRDefault="007E2499" w:rsidP="007E2499">
      <w:pPr>
        <w:rPr>
          <w:sz w:val="24"/>
          <w:szCs w:val="24"/>
        </w:rPr>
      </w:pPr>
    </w:p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>
      <w:r>
        <w:t xml:space="preserve"> </w:t>
      </w:r>
    </w:p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/>
    <w:p w:rsidR="007E2499" w:rsidRDefault="007E2499" w:rsidP="007E2499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99"/>
    <w:rsid w:val="0059029B"/>
    <w:rsid w:val="0062058F"/>
    <w:rsid w:val="007E2499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A765"/>
  <w15:chartTrackingRefBased/>
  <w15:docId w15:val="{71B29CE8-B033-441A-96C5-53549005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499"/>
    <w:rPr>
      <w:color w:val="0000FF"/>
      <w:u w:val="single"/>
    </w:rPr>
  </w:style>
  <w:style w:type="paragraph" w:styleId="a4">
    <w:name w:val="No Spacing"/>
    <w:uiPriority w:val="1"/>
    <w:qFormat/>
    <w:rsid w:val="007E24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7E24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E2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>Home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2017-05-11T22:46:00Z</dcterms:created>
  <dcterms:modified xsi:type="dcterms:W3CDTF">2017-05-11T22:48:00Z</dcterms:modified>
</cp:coreProperties>
</file>