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2B" w:rsidRPr="00DB222B" w:rsidRDefault="00DB222B" w:rsidP="00DB222B">
      <w:pPr>
        <w:pStyle w:val="a5"/>
        <w:jc w:val="center"/>
        <w:rPr>
          <w:rFonts w:ascii="Times New Roman" w:hAnsi="Times New Roman" w:cs="Times New Roman"/>
          <w:b/>
          <w:color w:val="000000" w:themeColor="text1"/>
          <w:sz w:val="24"/>
          <w:szCs w:val="24"/>
          <w:lang w:val="en-US"/>
        </w:rPr>
      </w:pPr>
      <w:r w:rsidRPr="00DB222B">
        <w:rPr>
          <w:rFonts w:ascii="Times New Roman" w:hAnsi="Times New Roman" w:cs="Times New Roman"/>
          <w:b/>
          <w:color w:val="000000" w:themeColor="text1"/>
          <w:sz w:val="24"/>
          <w:szCs w:val="24"/>
          <w:lang w:val="en-US"/>
        </w:rPr>
        <w:t>Corporate action statement</w:t>
      </w:r>
    </w:p>
    <w:p w:rsidR="00DB222B" w:rsidRPr="00DB222B" w:rsidRDefault="00DB222B" w:rsidP="00DB222B">
      <w:pPr>
        <w:pStyle w:val="a5"/>
        <w:jc w:val="center"/>
        <w:rPr>
          <w:rFonts w:ascii="Times New Roman" w:hAnsi="Times New Roman" w:cs="Times New Roman"/>
          <w:b/>
          <w:bCs/>
          <w:color w:val="000000" w:themeColor="text1"/>
          <w:sz w:val="24"/>
          <w:szCs w:val="24"/>
          <w:lang w:val="en-US"/>
        </w:rPr>
      </w:pPr>
      <w:r w:rsidRPr="00DB222B">
        <w:rPr>
          <w:rFonts w:ascii="Times New Roman" w:hAnsi="Times New Roman" w:cs="Times New Roman"/>
          <w:b/>
          <w:bCs/>
          <w:color w:val="000000" w:themeColor="text1"/>
          <w:sz w:val="24"/>
          <w:szCs w:val="24"/>
          <w:lang w:val="en-US"/>
        </w:rPr>
        <w:t>“On decisions adopted by the Issuer’s Board of Directors”</w:t>
      </w:r>
    </w:p>
    <w:p w:rsidR="00DB222B" w:rsidRPr="00DB222B" w:rsidRDefault="00DB222B" w:rsidP="00DB222B">
      <w:pPr>
        <w:pStyle w:val="a5"/>
        <w:jc w:val="center"/>
        <w:rPr>
          <w:rFonts w:ascii="Times New Roman" w:hAnsi="Times New Roman" w:cs="Times New Roman"/>
          <w:b/>
          <w:bCs/>
          <w:color w:val="000000" w:themeColor="text1"/>
          <w:sz w:val="24"/>
          <w:szCs w:val="24"/>
          <w:lang w:val="en-US"/>
        </w:rPr>
      </w:pPr>
      <w:r w:rsidRPr="00DB222B">
        <w:rPr>
          <w:rFonts w:ascii="Times New Roman" w:hAnsi="Times New Roman" w:cs="Times New Roman"/>
          <w:b/>
          <w:bCs/>
          <w:color w:val="000000" w:themeColor="text1"/>
          <w:sz w:val="24"/>
          <w:szCs w:val="24"/>
          <w:lang w:val="en-US"/>
        </w:rPr>
        <w:t>(disclosure of inside information)</w:t>
      </w:r>
    </w:p>
    <w:tbl>
      <w:tblPr>
        <w:tblStyle w:val="a6"/>
        <w:tblW w:w="9895" w:type="dxa"/>
        <w:tblInd w:w="-289" w:type="dxa"/>
        <w:tblLook w:val="04A0" w:firstRow="1" w:lastRow="0" w:firstColumn="1" w:lastColumn="0" w:noHBand="0" w:noVBand="1"/>
      </w:tblPr>
      <w:tblGrid>
        <w:gridCol w:w="3941"/>
        <w:gridCol w:w="5954"/>
      </w:tblGrid>
      <w:tr w:rsidR="00DB222B" w:rsidRPr="00DB222B" w:rsidTr="00DC4B80">
        <w:tc>
          <w:tcPr>
            <w:tcW w:w="9895" w:type="dxa"/>
            <w:gridSpan w:val="2"/>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numPr>
                <w:ilvl w:val="0"/>
                <w:numId w:val="1"/>
              </w:numPr>
              <w:ind w:left="0" w:firstLine="0"/>
              <w:jc w:val="center"/>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lang w:val="en-US"/>
              </w:rPr>
              <w:t>General data</w:t>
            </w:r>
          </w:p>
        </w:tc>
      </w:tr>
      <w:tr w:rsidR="00DB222B" w:rsidRPr="00DB222B" w:rsidTr="00DC4B80">
        <w:trPr>
          <w:trHeight w:val="599"/>
        </w:trPr>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 xml:space="preserve">1.1  </w:t>
            </w:r>
            <w:r w:rsidRPr="00DB222B">
              <w:rPr>
                <w:rFonts w:ascii="Times New Roman" w:hAnsi="Times New Roman" w:cs="Times New Roman"/>
                <w:color w:val="000000" w:themeColor="text1"/>
                <w:sz w:val="24"/>
                <w:szCs w:val="24"/>
                <w:lang w:val="en-US"/>
              </w:rPr>
              <w:t>Issuer</w:t>
            </w:r>
            <w:r w:rsidRPr="00DB222B">
              <w:rPr>
                <w:rFonts w:ascii="Times New Roman" w:hAnsi="Times New Roman" w:cs="Times New Roman"/>
                <w:color w:val="000000" w:themeColor="text1"/>
                <w:sz w:val="24"/>
                <w:szCs w:val="24"/>
              </w:rPr>
              <w:t>’</w:t>
            </w:r>
            <w:r w:rsidRPr="00DB222B">
              <w:rPr>
                <w:rFonts w:ascii="Times New Roman" w:hAnsi="Times New Roman" w:cs="Times New Roman"/>
                <w:color w:val="000000" w:themeColor="text1"/>
                <w:sz w:val="24"/>
                <w:szCs w:val="24"/>
                <w:lang w:val="en-US"/>
              </w:rPr>
              <w:t>s name</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Public joint-stock company of Power Industry and Electrification of Kuban</w:t>
            </w:r>
          </w:p>
        </w:tc>
      </w:tr>
      <w:tr w:rsidR="00DB222B" w:rsidRPr="00DB222B" w:rsidTr="00DC4B80">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 xml:space="preserve">1.2. </w:t>
            </w:r>
            <w:r w:rsidRPr="00DB222B">
              <w:rPr>
                <w:rFonts w:ascii="Times New Roman" w:hAnsi="Times New Roman" w:cs="Times New Roman"/>
                <w:color w:val="000000" w:themeColor="text1"/>
                <w:sz w:val="24"/>
                <w:szCs w:val="24"/>
                <w:lang w:val="en-US"/>
              </w:rPr>
              <w:t>Issuer</w:t>
            </w:r>
            <w:r w:rsidRPr="00DB222B">
              <w:rPr>
                <w:rFonts w:ascii="Times New Roman" w:hAnsi="Times New Roman" w:cs="Times New Roman"/>
                <w:color w:val="000000" w:themeColor="text1"/>
                <w:sz w:val="24"/>
                <w:szCs w:val="24"/>
              </w:rPr>
              <w:t>’</w:t>
            </w:r>
            <w:r w:rsidRPr="00DB222B">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lang w:val="en-US"/>
              </w:rPr>
              <w:t>“Kubanenergo” PJSC</w:t>
            </w:r>
          </w:p>
        </w:tc>
      </w:tr>
      <w:tr w:rsidR="00DB222B" w:rsidRPr="00DB222B" w:rsidTr="00DC4B80">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1.3. </w:t>
            </w:r>
            <w:r w:rsidRPr="00DB222B">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jc w:val="both"/>
              <w:rPr>
                <w:color w:val="000000" w:themeColor="text1"/>
                <w:lang w:val="en-US" w:eastAsia="en-US"/>
              </w:rPr>
            </w:pPr>
            <w:r w:rsidRPr="00DB222B">
              <w:rPr>
                <w:color w:val="000000" w:themeColor="text1"/>
                <w:lang w:val="en-US" w:eastAsia="en-US"/>
              </w:rPr>
              <w:t>Krasnodar, Russian Federation</w:t>
            </w:r>
          </w:p>
        </w:tc>
      </w:tr>
      <w:tr w:rsidR="00DB222B" w:rsidRPr="00DB222B" w:rsidTr="00DC4B80">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1.4. </w:t>
            </w:r>
            <w:r w:rsidRPr="00DB222B">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1022301427268</w:t>
            </w:r>
          </w:p>
        </w:tc>
      </w:tr>
      <w:tr w:rsidR="00DB222B" w:rsidRPr="00DB222B" w:rsidTr="00DC4B80">
        <w:trPr>
          <w:trHeight w:val="521"/>
        </w:trPr>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1.5. </w:t>
            </w:r>
            <w:r w:rsidRPr="00DB222B">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2309001660</w:t>
            </w:r>
          </w:p>
        </w:tc>
      </w:tr>
      <w:tr w:rsidR="00DB222B" w:rsidRPr="00DB222B" w:rsidTr="00DC4B80">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00063-</w:t>
            </w:r>
            <w:r w:rsidRPr="00DB222B">
              <w:rPr>
                <w:rFonts w:ascii="Times New Roman" w:hAnsi="Times New Roman" w:cs="Times New Roman"/>
                <w:color w:val="000000" w:themeColor="text1"/>
                <w:sz w:val="24"/>
                <w:szCs w:val="24"/>
                <w:lang w:val="en-US"/>
              </w:rPr>
              <w:t>A</w:t>
            </w:r>
          </w:p>
        </w:tc>
      </w:tr>
      <w:tr w:rsidR="00DB222B" w:rsidRPr="00DB222B" w:rsidTr="00DC4B80">
        <w:tc>
          <w:tcPr>
            <w:tcW w:w="3941"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1.7. Web-page for disclosure </w:t>
            </w:r>
            <w:r w:rsidRPr="00DB222B">
              <w:rPr>
                <w:rFonts w:ascii="Times New Roman" w:hAnsi="Times New Roman" w:cs="Times New Roman"/>
                <w:color w:val="000000" w:themeColor="text1"/>
                <w:sz w:val="24"/>
                <w:szCs w:val="24"/>
              </w:rPr>
              <w:t>ща</w:t>
            </w:r>
            <w:r w:rsidRPr="00DB222B">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sz w:val="24"/>
                <w:szCs w:val="24"/>
                <w:lang w:val="en-US"/>
              </w:rPr>
            </w:pPr>
            <w:hyperlink r:id="rId5" w:history="1">
              <w:r w:rsidRPr="00DB222B">
                <w:rPr>
                  <w:rStyle w:val="a3"/>
                  <w:rFonts w:ascii="Times New Roman" w:hAnsi="Times New Roman" w:cs="Times New Roman"/>
                  <w:sz w:val="24"/>
                  <w:szCs w:val="24"/>
                  <w:lang w:val="en-US"/>
                </w:rPr>
                <w:t>www.kubanenergo.ru</w:t>
              </w:r>
            </w:hyperlink>
            <w:r w:rsidRPr="00DB222B">
              <w:rPr>
                <w:rFonts w:ascii="Times New Roman" w:hAnsi="Times New Roman" w:cs="Times New Roman"/>
                <w:sz w:val="24"/>
                <w:szCs w:val="24"/>
                <w:lang w:val="en-US"/>
              </w:rPr>
              <w:t xml:space="preserve"> </w:t>
            </w:r>
          </w:p>
          <w:p w:rsidR="00DB222B" w:rsidRPr="00DB222B" w:rsidRDefault="00DB222B" w:rsidP="00DB222B">
            <w:pPr>
              <w:pStyle w:val="a5"/>
              <w:jc w:val="both"/>
              <w:rPr>
                <w:rFonts w:ascii="Times New Roman" w:hAnsi="Times New Roman" w:cs="Times New Roman"/>
                <w:color w:val="000000" w:themeColor="text1"/>
                <w:sz w:val="24"/>
                <w:szCs w:val="24"/>
                <w:lang w:val="en-US"/>
              </w:rPr>
            </w:pPr>
            <w:hyperlink r:id="rId6" w:history="1">
              <w:r w:rsidRPr="00DB222B">
                <w:rPr>
                  <w:rStyle w:val="a3"/>
                  <w:rFonts w:ascii="Times New Roman" w:hAnsi="Times New Roman" w:cs="Times New Roman"/>
                  <w:color w:val="000000" w:themeColor="text1"/>
                  <w:sz w:val="24"/>
                  <w:szCs w:val="24"/>
                  <w:lang w:val="en-US"/>
                </w:rPr>
                <w:t>http://www.e-disclosure.ru/portal/company.aspx?id=2827</w:t>
              </w:r>
            </w:hyperlink>
          </w:p>
        </w:tc>
      </w:tr>
      <w:tr w:rsidR="00DB222B" w:rsidRPr="00DB222B" w:rsidTr="00DC4B80">
        <w:tc>
          <w:tcPr>
            <w:tcW w:w="9895" w:type="dxa"/>
            <w:gridSpan w:val="2"/>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widowControl w:val="0"/>
              <w:shd w:val="clear" w:color="auto" w:fill="FFFFFF"/>
              <w:tabs>
                <w:tab w:val="left" w:pos="432"/>
              </w:tabs>
              <w:adjustRightInd w:val="0"/>
              <w:jc w:val="both"/>
              <w:rPr>
                <w:b/>
                <w:bCs/>
                <w:color w:val="000000" w:themeColor="text1"/>
                <w:lang w:val="en-US" w:eastAsia="en-US"/>
              </w:rPr>
            </w:pPr>
            <w:r w:rsidRPr="00DB222B">
              <w:rPr>
                <w:color w:val="000000" w:themeColor="text1"/>
                <w:lang w:val="en-US" w:eastAsia="en-US"/>
              </w:rPr>
              <w:t>2. Statement content</w:t>
            </w:r>
          </w:p>
        </w:tc>
      </w:tr>
      <w:tr w:rsidR="00DB222B" w:rsidRPr="00DB222B" w:rsidTr="00DC4B80">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tabs>
                <w:tab w:val="left" w:pos="284"/>
              </w:tabs>
              <w:jc w:val="both"/>
              <w:rPr>
                <w:b/>
                <w:color w:val="000000" w:themeColor="text1"/>
                <w:lang w:val="en-US" w:eastAsia="en-US"/>
              </w:rPr>
            </w:pPr>
            <w:r w:rsidRPr="00DB222B">
              <w:rPr>
                <w:b/>
                <w:color w:val="000000" w:themeColor="text1"/>
                <w:lang w:val="en-US" w:eastAsia="en-US"/>
              </w:rPr>
              <w:t>2.1 Quorum of meeting of issuer’s BoD and results of voting on the adopted decisions:</w:t>
            </w:r>
          </w:p>
          <w:p w:rsidR="00DB222B" w:rsidRPr="00DB222B" w:rsidRDefault="00DB222B" w:rsidP="00DB222B">
            <w:pPr>
              <w:widowControl w:val="0"/>
              <w:jc w:val="both"/>
              <w:rPr>
                <w:color w:val="000000" w:themeColor="text1"/>
                <w:lang w:val="en-US" w:eastAsia="en-US"/>
              </w:rPr>
            </w:pPr>
            <w:r w:rsidRPr="00DB222B">
              <w:rPr>
                <w:color w:val="000000" w:themeColor="text1"/>
                <w:lang w:val="en-US" w:eastAsia="en-US"/>
              </w:rPr>
              <w:t>Number of BoD members: 11 members</w:t>
            </w:r>
          </w:p>
          <w:p w:rsidR="00DB222B" w:rsidRPr="00DB222B" w:rsidRDefault="00DB222B" w:rsidP="00DB222B">
            <w:pPr>
              <w:tabs>
                <w:tab w:val="left" w:pos="284"/>
              </w:tabs>
              <w:jc w:val="both"/>
              <w:rPr>
                <w:color w:val="000000" w:themeColor="text1"/>
                <w:lang w:val="en-US" w:eastAsia="en-US"/>
              </w:rPr>
            </w:pPr>
            <w:r w:rsidRPr="00DB222B">
              <w:rPr>
                <w:color w:val="000000" w:themeColor="text1"/>
                <w:lang w:val="en-US" w:eastAsia="en-US"/>
              </w:rPr>
              <w:t xml:space="preserve">Members participated in the meeting: </w:t>
            </w:r>
            <w:r w:rsidRPr="00DB222B">
              <w:rPr>
                <w:color w:val="000000" w:themeColor="text1"/>
                <w:lang w:val="en-US" w:eastAsia="en-US"/>
              </w:rPr>
              <w:t>10</w:t>
            </w:r>
            <w:r w:rsidRPr="00DB222B">
              <w:rPr>
                <w:color w:val="000000" w:themeColor="text1"/>
                <w:lang w:val="en-US" w:eastAsia="en-US"/>
              </w:rPr>
              <w:t xml:space="preserve"> members</w:t>
            </w:r>
          </w:p>
          <w:p w:rsidR="00DB222B" w:rsidRPr="00DB222B" w:rsidRDefault="00DB222B" w:rsidP="00DB222B">
            <w:pPr>
              <w:tabs>
                <w:tab w:val="left" w:pos="284"/>
              </w:tabs>
              <w:jc w:val="both"/>
              <w:rPr>
                <w:color w:val="000000" w:themeColor="text1"/>
                <w:lang w:val="en-US" w:eastAsia="en-US"/>
              </w:rPr>
            </w:pPr>
            <w:r w:rsidRPr="00DB222B">
              <w:rPr>
                <w:color w:val="000000" w:themeColor="text1"/>
                <w:lang w:val="en-US" w:eastAsia="en-US"/>
              </w:rPr>
              <w:t>Quorum necessary for holding the meeting of Kubanenergo PJSC Board of Directors is present.</w:t>
            </w:r>
          </w:p>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Voting results: </w:t>
            </w:r>
            <w:bookmarkStart w:id="0" w:name="_GoBack"/>
            <w:bookmarkEnd w:id="0"/>
          </w:p>
          <w:tbl>
            <w:tblPr>
              <w:tblStyle w:val="a6"/>
              <w:tblW w:w="0" w:type="auto"/>
              <w:jc w:val="center"/>
              <w:tblLook w:val="04A0" w:firstRow="1" w:lastRow="0" w:firstColumn="1" w:lastColumn="0" w:noHBand="0" w:noVBand="1"/>
            </w:tblPr>
            <w:tblGrid>
              <w:gridCol w:w="1872"/>
              <w:gridCol w:w="2410"/>
              <w:gridCol w:w="1843"/>
              <w:gridCol w:w="2268"/>
            </w:tblGrid>
            <w:tr w:rsidR="00DB222B" w:rsidRPr="00DB222B" w:rsidTr="00DC4B80">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No.</w:t>
                  </w:r>
                </w:p>
                <w:p w:rsidR="00DB222B" w:rsidRPr="00DB222B" w:rsidRDefault="00DB222B" w:rsidP="00DB222B">
                  <w:pPr>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Votes</w:t>
                  </w:r>
                </w:p>
              </w:tc>
            </w:tr>
            <w:tr w:rsidR="00DB222B" w:rsidRPr="00DB222B" w:rsidTr="00DC4B80">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DB222B" w:rsidRPr="00DB222B" w:rsidRDefault="00DB222B" w:rsidP="00DB222B">
                  <w:pPr>
                    <w:autoSpaceDE/>
                    <w:autoSpaceDN/>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center"/>
                    <w:rPr>
                      <w:rFonts w:ascii="Times New Roman" w:hAnsi="Times New Roman" w:cs="Times New Roman"/>
                      <w:b/>
                      <w:color w:val="000000" w:themeColor="text1"/>
                      <w:sz w:val="24"/>
                      <w:szCs w:val="24"/>
                      <w:lang w:val="en-US"/>
                    </w:rPr>
                  </w:pPr>
                  <w:r w:rsidRPr="00DB222B">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ABSTAINED</w:t>
                  </w:r>
                </w:p>
              </w:tc>
            </w:tr>
            <w:tr w:rsidR="00DB222B" w:rsidRPr="00DB222B" w:rsidTr="00DC4B80">
              <w:trPr>
                <w:jc w:val="center"/>
              </w:trPr>
              <w:tc>
                <w:tcPr>
                  <w:tcW w:w="1872" w:type="dxa"/>
                </w:tcPr>
                <w:p w:rsidR="00DB222B" w:rsidRPr="00DB222B" w:rsidRDefault="00DB222B" w:rsidP="00DB222B">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DB222B" w:rsidRPr="00DB222B" w:rsidRDefault="00DB222B" w:rsidP="00DB222B">
                  <w:pPr>
                    <w:pStyle w:val="a5"/>
                    <w:jc w:val="center"/>
                    <w:rPr>
                      <w:rFonts w:ascii="Times New Roman" w:hAnsi="Times New Roman" w:cs="Times New Roman"/>
                      <w:b/>
                      <w:sz w:val="24"/>
                      <w:szCs w:val="24"/>
                    </w:rPr>
                  </w:pPr>
                  <w:r w:rsidRPr="00DB222B">
                    <w:rPr>
                      <w:rFonts w:ascii="Times New Roman" w:hAnsi="Times New Roman" w:cs="Times New Roman"/>
                      <w:b/>
                      <w:sz w:val="24"/>
                      <w:szCs w:val="24"/>
                    </w:rPr>
                    <w:t>10</w:t>
                  </w:r>
                </w:p>
              </w:tc>
              <w:tc>
                <w:tcPr>
                  <w:tcW w:w="1843" w:type="dxa"/>
                </w:tcPr>
                <w:p w:rsidR="00DB222B" w:rsidRPr="00DB222B" w:rsidRDefault="00DB222B" w:rsidP="00DB222B">
                  <w:pPr>
                    <w:pStyle w:val="a5"/>
                    <w:jc w:val="center"/>
                    <w:rPr>
                      <w:rFonts w:ascii="Times New Roman" w:hAnsi="Times New Roman" w:cs="Times New Roman"/>
                      <w:b/>
                      <w:sz w:val="24"/>
                      <w:szCs w:val="24"/>
                    </w:rPr>
                  </w:pPr>
                </w:p>
              </w:tc>
              <w:tc>
                <w:tcPr>
                  <w:tcW w:w="2268" w:type="dxa"/>
                </w:tcPr>
                <w:p w:rsidR="00DB222B" w:rsidRPr="00DB222B" w:rsidRDefault="00DB222B" w:rsidP="00DB222B">
                  <w:pPr>
                    <w:pStyle w:val="a5"/>
                    <w:jc w:val="center"/>
                    <w:rPr>
                      <w:rFonts w:ascii="Times New Roman" w:hAnsi="Times New Roman" w:cs="Times New Roman"/>
                      <w:b/>
                      <w:sz w:val="24"/>
                      <w:szCs w:val="24"/>
                      <w:lang w:val="en-US"/>
                    </w:rPr>
                  </w:pPr>
                </w:p>
              </w:tc>
            </w:tr>
            <w:tr w:rsidR="00DB222B" w:rsidRPr="00DB222B" w:rsidTr="00DC4B80">
              <w:trPr>
                <w:jc w:val="center"/>
              </w:trPr>
              <w:tc>
                <w:tcPr>
                  <w:tcW w:w="1872" w:type="dxa"/>
                </w:tcPr>
                <w:p w:rsidR="00DB222B" w:rsidRPr="00DB222B" w:rsidRDefault="00DB222B" w:rsidP="00DB222B">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DB222B" w:rsidRPr="00DB222B" w:rsidRDefault="00DB222B" w:rsidP="00DB222B">
                  <w:pPr>
                    <w:pStyle w:val="a5"/>
                    <w:jc w:val="center"/>
                    <w:rPr>
                      <w:rFonts w:ascii="Times New Roman" w:hAnsi="Times New Roman" w:cs="Times New Roman"/>
                      <w:b/>
                      <w:sz w:val="24"/>
                      <w:szCs w:val="24"/>
                    </w:rPr>
                  </w:pPr>
                  <w:r w:rsidRPr="00DB222B">
                    <w:rPr>
                      <w:rFonts w:ascii="Times New Roman" w:hAnsi="Times New Roman" w:cs="Times New Roman"/>
                      <w:b/>
                      <w:sz w:val="24"/>
                      <w:szCs w:val="24"/>
                    </w:rPr>
                    <w:t>10</w:t>
                  </w:r>
                </w:p>
              </w:tc>
              <w:tc>
                <w:tcPr>
                  <w:tcW w:w="1843" w:type="dxa"/>
                </w:tcPr>
                <w:p w:rsidR="00DB222B" w:rsidRPr="00DB222B" w:rsidRDefault="00DB222B" w:rsidP="00DB222B">
                  <w:pPr>
                    <w:pStyle w:val="a5"/>
                    <w:jc w:val="center"/>
                    <w:rPr>
                      <w:rFonts w:ascii="Times New Roman" w:hAnsi="Times New Roman" w:cs="Times New Roman"/>
                      <w:b/>
                      <w:sz w:val="24"/>
                      <w:szCs w:val="24"/>
                    </w:rPr>
                  </w:pPr>
                </w:p>
              </w:tc>
              <w:tc>
                <w:tcPr>
                  <w:tcW w:w="2268" w:type="dxa"/>
                </w:tcPr>
                <w:p w:rsidR="00DB222B" w:rsidRPr="00DB222B" w:rsidRDefault="00DB222B" w:rsidP="00DB222B">
                  <w:pPr>
                    <w:pStyle w:val="a5"/>
                    <w:jc w:val="center"/>
                    <w:rPr>
                      <w:rFonts w:ascii="Times New Roman" w:hAnsi="Times New Roman" w:cs="Times New Roman"/>
                      <w:b/>
                      <w:sz w:val="24"/>
                      <w:szCs w:val="24"/>
                      <w:lang w:val="en-US"/>
                    </w:rPr>
                  </w:pPr>
                </w:p>
              </w:tc>
            </w:tr>
          </w:tbl>
          <w:p w:rsidR="00DB222B" w:rsidRPr="00DB222B" w:rsidRDefault="00DB222B" w:rsidP="00DB222B">
            <w:pPr>
              <w:pStyle w:val="a5"/>
              <w:jc w:val="both"/>
              <w:rPr>
                <w:rFonts w:ascii="Times New Roman" w:hAnsi="Times New Roman" w:cs="Times New Roman"/>
                <w:color w:val="000000" w:themeColor="text1"/>
                <w:sz w:val="24"/>
                <w:szCs w:val="24"/>
                <w:lang w:val="en-US"/>
              </w:rPr>
            </w:pPr>
          </w:p>
        </w:tc>
      </w:tr>
      <w:tr w:rsidR="00DB222B" w:rsidRPr="00DB222B" w:rsidTr="00DC4B80">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DB222B" w:rsidRPr="00DB222B" w:rsidRDefault="00DB222B" w:rsidP="00DB222B">
            <w:pPr>
              <w:tabs>
                <w:tab w:val="left" w:pos="284"/>
              </w:tabs>
              <w:jc w:val="center"/>
              <w:rPr>
                <w:lang w:val="en-US" w:eastAsia="en-US"/>
              </w:rPr>
            </w:pPr>
            <w:r w:rsidRPr="00DB222B">
              <w:rPr>
                <w:b/>
                <w:color w:val="000000" w:themeColor="text1"/>
                <w:lang w:val="en-US" w:eastAsia="en-US"/>
              </w:rPr>
              <w:t>Disclosure of insider information</w:t>
            </w:r>
          </w:p>
          <w:p w:rsidR="00DB222B" w:rsidRPr="00DB222B" w:rsidRDefault="00DB222B" w:rsidP="00DB222B">
            <w:pPr>
              <w:tabs>
                <w:tab w:val="left" w:pos="284"/>
              </w:tabs>
              <w:jc w:val="center"/>
              <w:rPr>
                <w:b/>
                <w:color w:val="000000" w:themeColor="text1"/>
                <w:lang w:val="en-US" w:eastAsia="en-US"/>
              </w:rPr>
            </w:pPr>
            <w:r w:rsidRPr="00DB222B">
              <w:rPr>
                <w:b/>
                <w:color w:val="000000" w:themeColor="text1"/>
                <w:lang w:val="en-US" w:eastAsia="en-US"/>
              </w:rPr>
              <w:t>Item No. 1 “</w:t>
            </w:r>
            <w:r w:rsidRPr="00DB222B">
              <w:rPr>
                <w:b/>
                <w:lang w:val="en-US" w:eastAsia="en-US"/>
              </w:rPr>
              <w:t>On approval of Programme of innovative development of Kubanenergo PJSC 2016-2020 with estimates for 2025”</w:t>
            </w:r>
          </w:p>
        </w:tc>
      </w:tr>
      <w:tr w:rsidR="00DB222B" w:rsidRPr="00DB222B" w:rsidTr="00DC4B80">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DB222B" w:rsidRPr="00DB222B" w:rsidRDefault="00DB222B" w:rsidP="00DB222B">
            <w:pPr>
              <w:jc w:val="both"/>
              <w:rPr>
                <w:color w:val="000000" w:themeColor="text1"/>
                <w:lang w:val="en-US"/>
              </w:rPr>
            </w:pPr>
            <w:r w:rsidRPr="00DB222B">
              <w:rPr>
                <w:color w:val="000000" w:themeColor="text1"/>
                <w:lang w:val="en-US"/>
              </w:rPr>
              <w:t>2.2.1.  Decision adopted by issuer’s Board of Directors:</w:t>
            </w:r>
          </w:p>
          <w:p w:rsidR="00DB222B" w:rsidRPr="00DB222B" w:rsidRDefault="00DB222B" w:rsidP="00DB222B">
            <w:pPr>
              <w:tabs>
                <w:tab w:val="left" w:pos="284"/>
              </w:tabs>
              <w:jc w:val="both"/>
              <w:rPr>
                <w:color w:val="000000" w:themeColor="text1"/>
                <w:lang w:val="en-US" w:eastAsia="en-US"/>
              </w:rPr>
            </w:pPr>
            <w:r w:rsidRPr="00DB222B">
              <w:rPr>
                <w:color w:val="000000" w:themeColor="text1"/>
                <w:lang w:val="en-US" w:eastAsia="en-US"/>
              </w:rPr>
              <w:t>To postpone the discussion to a later date.</w:t>
            </w:r>
          </w:p>
        </w:tc>
      </w:tr>
      <w:tr w:rsidR="00DB222B" w:rsidRPr="00DB222B" w:rsidTr="00DC4B80">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DB222B" w:rsidRPr="00DB222B" w:rsidRDefault="00DB222B" w:rsidP="00DB222B">
            <w:pPr>
              <w:tabs>
                <w:tab w:val="left" w:pos="284"/>
              </w:tabs>
              <w:jc w:val="center"/>
              <w:rPr>
                <w:lang w:val="en-US" w:eastAsia="en-US"/>
              </w:rPr>
            </w:pPr>
            <w:r w:rsidRPr="00DB222B">
              <w:rPr>
                <w:b/>
                <w:color w:val="000000" w:themeColor="text1"/>
                <w:lang w:val="en-US" w:eastAsia="en-US"/>
              </w:rPr>
              <w:t>Disclosure of insider information</w:t>
            </w:r>
          </w:p>
          <w:p w:rsidR="00DB222B" w:rsidRPr="00DB222B" w:rsidRDefault="00DB222B" w:rsidP="00DB222B">
            <w:pPr>
              <w:jc w:val="both"/>
              <w:rPr>
                <w:color w:val="000000" w:themeColor="text1"/>
                <w:lang w:val="en-US"/>
              </w:rPr>
            </w:pPr>
            <w:r w:rsidRPr="00DB222B">
              <w:rPr>
                <w:b/>
                <w:color w:val="000000" w:themeColor="text1"/>
                <w:lang w:val="en-US" w:eastAsia="en-US"/>
              </w:rPr>
              <w:t xml:space="preserve">Item No. </w:t>
            </w:r>
            <w:r w:rsidRPr="00DB222B">
              <w:rPr>
                <w:b/>
                <w:color w:val="000000" w:themeColor="text1"/>
                <w:lang w:val="en-US" w:eastAsia="en-US"/>
              </w:rPr>
              <w:t xml:space="preserve"> 2 “</w:t>
            </w:r>
            <w:r w:rsidRPr="00DB222B">
              <w:rPr>
                <w:b/>
                <w:lang w:val="en-US" w:eastAsia="en-US"/>
              </w:rPr>
              <w:t>On approval of Plan of activities of Kubanenergo PJSC to reduce overdue receivables for electricity transmission services and settlement of disputes as of 01.01.2017</w:t>
            </w:r>
            <w:r w:rsidRPr="00DB222B">
              <w:rPr>
                <w:b/>
                <w:lang w:val="en-US" w:eastAsia="en-US"/>
              </w:rPr>
              <w:t>”</w:t>
            </w:r>
          </w:p>
        </w:tc>
      </w:tr>
      <w:tr w:rsidR="00DB222B" w:rsidRPr="00DB222B" w:rsidTr="00DC4B80">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DB222B" w:rsidRPr="00DB222B" w:rsidRDefault="00DB222B" w:rsidP="00DB222B">
            <w:pPr>
              <w:jc w:val="both"/>
              <w:rPr>
                <w:color w:val="000000" w:themeColor="text1"/>
                <w:lang w:val="en-US"/>
              </w:rPr>
            </w:pPr>
            <w:r w:rsidRPr="00DB222B">
              <w:rPr>
                <w:color w:val="000000" w:themeColor="text1"/>
                <w:lang w:val="en-US"/>
              </w:rPr>
              <w:t>2.2.</w:t>
            </w:r>
            <w:r w:rsidRPr="00DB222B">
              <w:rPr>
                <w:color w:val="000000" w:themeColor="text1"/>
                <w:lang w:val="en-US"/>
              </w:rPr>
              <w:t>2</w:t>
            </w:r>
            <w:r w:rsidRPr="00DB222B">
              <w:rPr>
                <w:color w:val="000000" w:themeColor="text1"/>
                <w:lang w:val="en-US"/>
              </w:rPr>
              <w:t>.  Decision adopted by issuer’s Board of Directors:</w:t>
            </w:r>
          </w:p>
          <w:p w:rsidR="00DB222B" w:rsidRPr="00DB222B" w:rsidRDefault="00DB222B" w:rsidP="00DB222B">
            <w:pPr>
              <w:jc w:val="both"/>
              <w:rPr>
                <w:lang w:val="en-US" w:eastAsia="en-US"/>
              </w:rPr>
            </w:pPr>
            <w:r w:rsidRPr="00DB222B">
              <w:rPr>
                <w:lang w:val="en-US" w:eastAsia="en-US"/>
              </w:rPr>
              <w:t xml:space="preserve">1. To approve the </w:t>
            </w:r>
            <w:r w:rsidRPr="00DB222B">
              <w:rPr>
                <w:lang w:val="en-US" w:eastAsia="en-US"/>
              </w:rPr>
              <w:t>Plan of activities of Kubanenergo PJSC to reduce overdue receivables for electricity transmission services and settlement of disputes as of 01.01.2017</w:t>
            </w:r>
            <w:r w:rsidRPr="00DB222B">
              <w:rPr>
                <w:lang w:val="en-US" w:eastAsia="en-US"/>
              </w:rPr>
              <w:t>, in accordance with Annex 1 to the present re solution of the Company’s BoD.</w:t>
            </w:r>
          </w:p>
          <w:p w:rsidR="00DB222B" w:rsidRPr="00DB222B" w:rsidRDefault="00DB222B" w:rsidP="00DB222B">
            <w:pPr>
              <w:jc w:val="both"/>
              <w:rPr>
                <w:lang w:val="en-US" w:eastAsia="en-US"/>
              </w:rPr>
            </w:pPr>
            <w:r w:rsidRPr="00DB222B">
              <w:rPr>
                <w:lang w:val="en-US" w:eastAsia="en-US"/>
              </w:rPr>
              <w:t xml:space="preserve">2. </w:t>
            </w:r>
            <w:r w:rsidRPr="00DB222B">
              <w:rPr>
                <w:lang w:val="en-US" w:eastAsia="en-US"/>
              </w:rPr>
              <w:t xml:space="preserve">To take into consideration the report on implementation of the previous Plan of activities aimed at reduction of overdue receivables electricity transmission services and settlement of disputes that existed as of 01.01.2016, in accordance with Annex </w:t>
            </w:r>
            <w:r w:rsidRPr="00DB222B">
              <w:rPr>
                <w:lang w:val="en-US" w:eastAsia="en-US"/>
              </w:rPr>
              <w:t>2</w:t>
            </w:r>
            <w:r w:rsidRPr="00DB222B">
              <w:rPr>
                <w:lang w:val="en-US" w:eastAsia="en-US"/>
              </w:rPr>
              <w:t xml:space="preserve"> to the present resolution of the Company’s BoD</w:t>
            </w:r>
            <w:r w:rsidRPr="00DB222B">
              <w:rPr>
                <w:lang w:val="en-US" w:eastAsia="en-US"/>
              </w:rPr>
              <w:t>.</w:t>
            </w:r>
          </w:p>
          <w:p w:rsidR="00DB222B" w:rsidRPr="00DB222B" w:rsidRDefault="00DB222B" w:rsidP="00DB222B">
            <w:pPr>
              <w:jc w:val="both"/>
              <w:rPr>
                <w:lang w:val="en-US" w:eastAsia="en-US"/>
              </w:rPr>
            </w:pPr>
            <w:r w:rsidRPr="00DB222B">
              <w:rPr>
                <w:lang w:val="en-US" w:eastAsia="en-US"/>
              </w:rPr>
              <w:t xml:space="preserve">3. </w:t>
            </w:r>
            <w:r w:rsidRPr="00DB222B">
              <w:rPr>
                <w:lang w:val="en-US" w:eastAsia="en-US"/>
              </w:rPr>
              <w:t xml:space="preserve">To take into consideration the Report on work carried out by </w:t>
            </w:r>
            <w:r w:rsidRPr="00DB222B">
              <w:rPr>
                <w:lang w:val="en-US" w:eastAsia="en-US"/>
              </w:rPr>
              <w:t>Kubanenergo PJSC</w:t>
            </w:r>
            <w:r w:rsidRPr="00DB222B">
              <w:rPr>
                <w:lang w:val="en-US" w:eastAsia="en-US"/>
              </w:rPr>
              <w:t xml:space="preserve"> in the 4</w:t>
            </w:r>
            <w:r w:rsidRPr="00DB222B">
              <w:rPr>
                <w:vertAlign w:val="superscript"/>
                <w:lang w:val="en-US" w:eastAsia="en-US"/>
              </w:rPr>
              <w:t>th</w:t>
            </w:r>
            <w:r w:rsidRPr="00DB222B">
              <w:rPr>
                <w:lang w:val="en-US" w:eastAsia="en-US"/>
              </w:rPr>
              <w:t xml:space="preserve"> quarter of 2016 regarding the newly formed overdue receivables for electric power transmission services, in accordance with Annex </w:t>
            </w:r>
            <w:r w:rsidRPr="00DB222B">
              <w:rPr>
                <w:lang w:val="en-US" w:eastAsia="en-US"/>
              </w:rPr>
              <w:t>3</w:t>
            </w:r>
            <w:r w:rsidRPr="00DB222B">
              <w:rPr>
                <w:lang w:val="en-US" w:eastAsia="en-US"/>
              </w:rPr>
              <w:t xml:space="preserve"> to the present resolution of the Company’s BoD</w:t>
            </w:r>
            <w:r w:rsidRPr="00DB222B">
              <w:rPr>
                <w:lang w:val="en-US" w:eastAsia="en-US"/>
              </w:rPr>
              <w:t>.</w:t>
            </w:r>
          </w:p>
          <w:p w:rsidR="00DB222B" w:rsidRPr="00DB222B" w:rsidRDefault="00DB222B" w:rsidP="00DB222B">
            <w:pPr>
              <w:jc w:val="both"/>
              <w:rPr>
                <w:lang w:val="en-US" w:eastAsia="en-US"/>
              </w:rPr>
            </w:pPr>
            <w:r w:rsidRPr="00DB222B">
              <w:rPr>
                <w:lang w:val="en-US" w:eastAsia="en-US"/>
              </w:rPr>
              <w:t xml:space="preserve">4. </w:t>
            </w:r>
            <w:r w:rsidRPr="00DB222B">
              <w:rPr>
                <w:lang w:val="en-US" w:eastAsia="en-US"/>
              </w:rPr>
              <w:t xml:space="preserve">To take into consideration the Report of </w:t>
            </w:r>
            <w:r w:rsidRPr="00DB222B">
              <w:rPr>
                <w:lang w:val="en-US" w:eastAsia="en-US"/>
              </w:rPr>
              <w:t>Kubanenergo PJSC</w:t>
            </w:r>
            <w:r w:rsidRPr="00DB222B">
              <w:rPr>
                <w:lang w:val="en-US" w:eastAsia="en-US"/>
              </w:rPr>
              <w:t xml:space="preserve"> on the repayment in 2016 of overdue receivables established as of 01.01.2016, in accordance with Annex </w:t>
            </w:r>
            <w:r w:rsidRPr="00DB222B">
              <w:rPr>
                <w:lang w:val="en-US" w:eastAsia="en-US"/>
              </w:rPr>
              <w:t>4</w:t>
            </w:r>
            <w:r w:rsidRPr="00DB222B">
              <w:rPr>
                <w:lang w:val="en-US" w:eastAsia="en-US"/>
              </w:rPr>
              <w:t xml:space="preserve"> to the present resolution of the Company’s B</w:t>
            </w:r>
            <w:r w:rsidRPr="00DB222B">
              <w:rPr>
                <w:lang w:val="en-US" w:eastAsia="en-US"/>
              </w:rPr>
              <w:t>o</w:t>
            </w:r>
            <w:r w:rsidRPr="00DB222B">
              <w:rPr>
                <w:lang w:val="en-US" w:eastAsia="en-US"/>
              </w:rPr>
              <w:t>D</w:t>
            </w:r>
            <w:r w:rsidRPr="00DB222B">
              <w:rPr>
                <w:lang w:val="en-US" w:eastAsia="en-US"/>
              </w:rPr>
              <w:t>.</w:t>
            </w:r>
          </w:p>
          <w:p w:rsidR="00DB222B" w:rsidRPr="00DB222B" w:rsidRDefault="00DB222B" w:rsidP="00DB222B">
            <w:pPr>
              <w:jc w:val="both"/>
              <w:rPr>
                <w:lang w:val="en-US" w:eastAsia="en-US"/>
              </w:rPr>
            </w:pPr>
            <w:r w:rsidRPr="00DB222B">
              <w:rPr>
                <w:lang w:val="en-US" w:eastAsia="en-US"/>
              </w:rPr>
              <w:t xml:space="preserve">5. </w:t>
            </w:r>
            <w:r w:rsidRPr="00DB222B">
              <w:rPr>
                <w:lang w:val="en-US" w:eastAsia="en-US"/>
              </w:rPr>
              <w:t>Confidential</w:t>
            </w:r>
          </w:p>
          <w:p w:rsidR="00DB222B" w:rsidRPr="00DB222B" w:rsidRDefault="00DB222B" w:rsidP="00DB222B">
            <w:pPr>
              <w:jc w:val="both"/>
              <w:rPr>
                <w:lang w:val="en-US" w:eastAsia="en-US"/>
              </w:rPr>
            </w:pPr>
            <w:r w:rsidRPr="00DB222B">
              <w:rPr>
                <w:lang w:val="en-US" w:eastAsia="en-US"/>
              </w:rPr>
              <w:t xml:space="preserve">6. </w:t>
            </w:r>
            <w:r w:rsidRPr="00DB222B">
              <w:rPr>
                <w:lang w:val="en-US" w:eastAsia="en-US"/>
              </w:rPr>
              <w:t>Confidential</w:t>
            </w:r>
          </w:p>
          <w:p w:rsidR="00DB222B" w:rsidRPr="00DB222B" w:rsidRDefault="00DB222B" w:rsidP="00DB222B">
            <w:pPr>
              <w:jc w:val="both"/>
              <w:rPr>
                <w:lang w:val="en-US" w:eastAsia="en-US"/>
              </w:rPr>
            </w:pPr>
            <w:r w:rsidRPr="00DB222B">
              <w:rPr>
                <w:lang w:val="en-US" w:eastAsia="en-US"/>
              </w:rPr>
              <w:t xml:space="preserve">6.1. </w:t>
            </w:r>
            <w:r w:rsidRPr="00DB222B">
              <w:rPr>
                <w:lang w:val="en-US" w:eastAsia="en-US"/>
              </w:rPr>
              <w:t>Confidential</w:t>
            </w:r>
          </w:p>
          <w:p w:rsidR="00DB222B" w:rsidRPr="00DB222B" w:rsidRDefault="00DB222B" w:rsidP="00DB222B">
            <w:pPr>
              <w:jc w:val="both"/>
              <w:rPr>
                <w:lang w:val="en-US" w:eastAsia="en-US"/>
              </w:rPr>
            </w:pPr>
            <w:r w:rsidRPr="00DB222B">
              <w:rPr>
                <w:lang w:val="en-US" w:eastAsia="en-US"/>
              </w:rPr>
              <w:t>7.2 To s</w:t>
            </w:r>
            <w:r w:rsidRPr="00DB222B">
              <w:rPr>
                <w:lang w:val="en-US" w:eastAsia="en-US"/>
              </w:rPr>
              <w:t xml:space="preserve">ubmit quarterly reports on the progress of the execution of the instruction specified in clause </w:t>
            </w:r>
            <w:r w:rsidRPr="00DB222B">
              <w:rPr>
                <w:lang w:val="en-US" w:eastAsia="en-US"/>
              </w:rPr>
              <w:t>7</w:t>
            </w:r>
            <w:r w:rsidRPr="00DB222B">
              <w:rPr>
                <w:lang w:val="en-US" w:eastAsia="en-US"/>
              </w:rPr>
              <w:t>.1 of the present decision</w:t>
            </w:r>
            <w:r w:rsidRPr="00DB222B">
              <w:rPr>
                <w:lang w:val="en-US" w:eastAsia="en-US"/>
              </w:rPr>
              <w:t xml:space="preserve"> </w:t>
            </w:r>
            <w:r w:rsidRPr="00DB222B">
              <w:rPr>
                <w:lang w:val="en-US" w:eastAsia="en-US"/>
              </w:rPr>
              <w:t>of the Company’s BoD</w:t>
            </w:r>
          </w:p>
        </w:tc>
      </w:tr>
      <w:tr w:rsidR="00DB222B" w:rsidRPr="00DB222B" w:rsidTr="00DC4B80">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DB222B" w:rsidRPr="00DB222B" w:rsidRDefault="00DB222B" w:rsidP="00DB222B">
            <w:pPr>
              <w:pStyle w:val="a5"/>
              <w:jc w:val="both"/>
              <w:rPr>
                <w:rFonts w:ascii="Times New Roman" w:hAnsi="Times New Roman" w:cs="Times New Roman"/>
                <w:b/>
                <w:color w:val="000000" w:themeColor="text1"/>
                <w:sz w:val="24"/>
                <w:szCs w:val="24"/>
                <w:lang w:val="en-US"/>
              </w:rPr>
            </w:pPr>
            <w:r w:rsidRPr="00DB222B">
              <w:rPr>
                <w:rFonts w:ascii="Times New Roman" w:hAnsi="Times New Roman" w:cs="Times New Roman"/>
                <w:color w:val="000000" w:themeColor="text1"/>
                <w:sz w:val="24"/>
                <w:szCs w:val="24"/>
                <w:lang w:val="en-US"/>
              </w:rPr>
              <w:lastRenderedPageBreak/>
              <w:t xml:space="preserve">2.3. Date of holding the meeting of the Board of Directors at which the resolutions have been adopted: </w:t>
            </w:r>
            <w:r w:rsidRPr="00DB222B">
              <w:rPr>
                <w:rFonts w:ascii="Times New Roman" w:hAnsi="Times New Roman" w:cs="Times New Roman"/>
                <w:b/>
                <w:color w:val="000000" w:themeColor="text1"/>
                <w:sz w:val="24"/>
                <w:szCs w:val="24"/>
                <w:lang w:val="en-US"/>
              </w:rPr>
              <w:t>3</w:t>
            </w:r>
            <w:r w:rsidRPr="00DB222B">
              <w:rPr>
                <w:rFonts w:ascii="Times New Roman" w:hAnsi="Times New Roman" w:cs="Times New Roman"/>
                <w:b/>
                <w:color w:val="000000" w:themeColor="text1"/>
                <w:sz w:val="24"/>
                <w:szCs w:val="24"/>
                <w:lang w:val="en-US"/>
              </w:rPr>
              <w:t>1</w:t>
            </w:r>
            <w:r w:rsidRPr="00DB222B">
              <w:rPr>
                <w:rFonts w:ascii="Times New Roman" w:hAnsi="Times New Roman" w:cs="Times New Roman"/>
                <w:b/>
                <w:color w:val="000000" w:themeColor="text1"/>
                <w:sz w:val="24"/>
                <w:szCs w:val="24"/>
                <w:lang w:val="en-US"/>
              </w:rPr>
              <w:t xml:space="preserve"> March 2017</w:t>
            </w:r>
          </w:p>
          <w:p w:rsidR="00DB222B" w:rsidRPr="00DB222B" w:rsidRDefault="00DB222B" w:rsidP="00DB222B">
            <w:pPr>
              <w:pStyle w:val="a5"/>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sidRPr="00DB222B">
              <w:rPr>
                <w:rFonts w:ascii="Times New Roman" w:hAnsi="Times New Roman" w:cs="Times New Roman"/>
                <w:b/>
                <w:color w:val="000000" w:themeColor="text1"/>
                <w:sz w:val="24"/>
                <w:szCs w:val="24"/>
                <w:lang w:val="en-US"/>
              </w:rPr>
              <w:t xml:space="preserve">3 April </w:t>
            </w:r>
            <w:r w:rsidRPr="00DB222B">
              <w:rPr>
                <w:rFonts w:ascii="Times New Roman" w:hAnsi="Times New Roman" w:cs="Times New Roman"/>
                <w:b/>
                <w:color w:val="000000" w:themeColor="text1"/>
                <w:sz w:val="24"/>
                <w:szCs w:val="24"/>
                <w:lang w:val="en-US"/>
              </w:rPr>
              <w:t>2017, minutes of meeting No.26</w:t>
            </w:r>
            <w:r w:rsidRPr="00DB222B">
              <w:rPr>
                <w:rFonts w:ascii="Times New Roman" w:hAnsi="Times New Roman" w:cs="Times New Roman"/>
                <w:b/>
                <w:color w:val="000000" w:themeColor="text1"/>
                <w:sz w:val="24"/>
                <w:szCs w:val="24"/>
                <w:lang w:val="en-US"/>
              </w:rPr>
              <w:t>9</w:t>
            </w:r>
            <w:r w:rsidRPr="00DB222B">
              <w:rPr>
                <w:rFonts w:ascii="Times New Roman" w:hAnsi="Times New Roman" w:cs="Times New Roman"/>
                <w:b/>
                <w:color w:val="000000" w:themeColor="text1"/>
                <w:sz w:val="24"/>
                <w:szCs w:val="24"/>
                <w:lang w:val="en-US"/>
              </w:rPr>
              <w:t>/2017.</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DB222B" w:rsidRPr="00DB222B" w:rsidTr="00DC4B80">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B222B" w:rsidRPr="00DB222B" w:rsidRDefault="00DB222B" w:rsidP="00DB222B">
            <w:pPr>
              <w:jc w:val="center"/>
              <w:rPr>
                <w:color w:val="000000" w:themeColor="text1"/>
                <w:lang w:val="en-US" w:eastAsia="en-US"/>
              </w:rPr>
            </w:pPr>
            <w:r w:rsidRPr="00DB222B">
              <w:rPr>
                <w:color w:val="000000" w:themeColor="text1"/>
                <w:lang w:val="en-US" w:eastAsia="en-US"/>
              </w:rPr>
              <w:t>3. Signature</w:t>
            </w:r>
          </w:p>
        </w:tc>
      </w:tr>
      <w:tr w:rsidR="00DB222B" w:rsidRPr="00DB222B" w:rsidTr="00DC4B80">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DB222B" w:rsidRPr="00DB222B" w:rsidRDefault="00DB222B" w:rsidP="00DB222B">
            <w:pPr>
              <w:pStyle w:val="Default"/>
              <w:jc w:val="both"/>
              <w:rPr>
                <w:color w:val="000000" w:themeColor="text1"/>
                <w:lang w:val="en-US"/>
              </w:rPr>
            </w:pPr>
            <w:r w:rsidRPr="00DB222B">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DB222B" w:rsidRPr="00DB222B" w:rsidRDefault="00DB222B" w:rsidP="00DB222B">
            <w:pPr>
              <w:jc w:val="both"/>
              <w:rPr>
                <w:color w:val="000000" w:themeColor="text1"/>
                <w:lang w:val="en-US" w:eastAsia="en-US"/>
              </w:rPr>
            </w:pPr>
            <w:r w:rsidRPr="00DB222B">
              <w:rPr>
                <w:color w:val="000000" w:themeColor="text1"/>
                <w:lang w:val="en-US" w:eastAsia="en-US"/>
              </w:rPr>
              <w:t>_______________</w:t>
            </w:r>
          </w:p>
          <w:p w:rsidR="00DB222B" w:rsidRPr="00DB222B" w:rsidRDefault="00DB222B" w:rsidP="00DB222B">
            <w:pPr>
              <w:jc w:val="both"/>
              <w:rPr>
                <w:color w:val="000000" w:themeColor="text1"/>
                <w:lang w:val="en-US" w:eastAsia="en-US"/>
              </w:rPr>
            </w:pPr>
            <w:r w:rsidRPr="00DB222B">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DB222B" w:rsidRPr="00DB222B" w:rsidRDefault="00DB222B" w:rsidP="00DB222B">
            <w:pPr>
              <w:jc w:val="both"/>
              <w:rPr>
                <w:color w:val="000000" w:themeColor="text1"/>
                <w:lang w:val="en-US" w:eastAsia="en-US"/>
              </w:rPr>
            </w:pPr>
            <w:proofErr w:type="spellStart"/>
            <w:r w:rsidRPr="00DB222B">
              <w:rPr>
                <w:color w:val="000000" w:themeColor="text1"/>
                <w:lang w:val="en-US" w:eastAsia="en-US"/>
              </w:rPr>
              <w:t>Ivanova</w:t>
            </w:r>
            <w:proofErr w:type="spellEnd"/>
            <w:r w:rsidRPr="00DB222B">
              <w:rPr>
                <w:color w:val="000000" w:themeColor="text1"/>
                <w:lang w:val="en-US" w:eastAsia="en-US"/>
              </w:rPr>
              <w:t xml:space="preserve"> I.V.</w:t>
            </w:r>
          </w:p>
          <w:p w:rsidR="00DB222B" w:rsidRPr="00DB222B" w:rsidRDefault="00DB222B" w:rsidP="00DB222B">
            <w:pPr>
              <w:jc w:val="both"/>
              <w:rPr>
                <w:color w:val="000000" w:themeColor="text1"/>
                <w:lang w:val="en-US" w:eastAsia="en-US"/>
              </w:rPr>
            </w:pPr>
          </w:p>
        </w:tc>
      </w:tr>
      <w:tr w:rsidR="00DB222B" w:rsidRPr="00DB222B" w:rsidTr="00DC4B80">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B222B" w:rsidRPr="00DB222B" w:rsidRDefault="00DB222B" w:rsidP="00DB222B">
            <w:pPr>
              <w:jc w:val="both"/>
              <w:rPr>
                <w:color w:val="000000" w:themeColor="text1"/>
                <w:lang w:val="en-US" w:eastAsia="en-US"/>
              </w:rPr>
            </w:pPr>
            <w:r w:rsidRPr="00DB222B">
              <w:rPr>
                <w:color w:val="000000" w:themeColor="text1"/>
                <w:lang w:val="en-US" w:eastAsia="en-US"/>
              </w:rPr>
              <w:t xml:space="preserve">3.2 Date: </w:t>
            </w:r>
            <w:r w:rsidRPr="00DB222B">
              <w:rPr>
                <w:color w:val="000000" w:themeColor="text1"/>
                <w:lang w:eastAsia="en-US"/>
              </w:rPr>
              <w:t xml:space="preserve">4 </w:t>
            </w:r>
            <w:r w:rsidRPr="00DB222B">
              <w:rPr>
                <w:color w:val="000000" w:themeColor="text1"/>
                <w:lang w:val="en-US" w:eastAsia="en-US"/>
              </w:rPr>
              <w:t>April</w:t>
            </w:r>
            <w:r w:rsidRPr="00DB222B">
              <w:rPr>
                <w:color w:val="000000" w:themeColor="text1"/>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DB222B" w:rsidRPr="00DB222B" w:rsidRDefault="00DB222B" w:rsidP="00DB222B">
            <w:pPr>
              <w:jc w:val="both"/>
              <w:rPr>
                <w:color w:val="000000" w:themeColor="text1"/>
                <w:lang w:val="en-US" w:eastAsia="en-US"/>
              </w:rPr>
            </w:pPr>
            <w:r w:rsidRPr="00DB222B">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DB222B" w:rsidRPr="00DB222B" w:rsidRDefault="00DB222B" w:rsidP="00DB222B">
            <w:pPr>
              <w:jc w:val="both"/>
              <w:rPr>
                <w:color w:val="000000" w:themeColor="text1"/>
                <w:lang w:val="en-US" w:eastAsia="en-US"/>
              </w:rPr>
            </w:pPr>
          </w:p>
        </w:tc>
      </w:tr>
    </w:tbl>
    <w:p w:rsidR="00DB222B" w:rsidRPr="00DB222B" w:rsidRDefault="00DB222B" w:rsidP="00DB222B"/>
    <w:p w:rsidR="00DB222B" w:rsidRPr="00DB222B" w:rsidRDefault="00DB222B" w:rsidP="00DB222B"/>
    <w:p w:rsidR="00DB222B" w:rsidRPr="00DB222B" w:rsidRDefault="00DB222B" w:rsidP="00DB222B"/>
    <w:p w:rsidR="0059029B" w:rsidRPr="00DB222B" w:rsidRDefault="0059029B" w:rsidP="00DB222B"/>
    <w:sectPr w:rsidR="0059029B" w:rsidRPr="00DB222B"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rFonts w:hint="default"/>
        <w:color w:val="auto"/>
      </w:rPr>
    </w:lvl>
    <w:lvl w:ilvl="2">
      <w:start w:val="1"/>
      <w:numFmt w:val="decimal"/>
      <w:isLgl/>
      <w:lvlText w:val="%1.%2.%3."/>
      <w:lvlJc w:val="left"/>
      <w:pPr>
        <w:ind w:left="2421"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color w:val="auto"/>
      </w:rPr>
    </w:lvl>
    <w:lvl w:ilvl="5">
      <w:start w:val="1"/>
      <w:numFmt w:val="decimal"/>
      <w:isLgl/>
      <w:lvlText w:val="%1.%2.%3.%4.%5.%6."/>
      <w:lvlJc w:val="left"/>
      <w:pPr>
        <w:ind w:left="2781" w:hanging="1080"/>
      </w:pPr>
      <w:rPr>
        <w:rFonts w:hint="default"/>
        <w:color w:val="auto"/>
      </w:rPr>
    </w:lvl>
    <w:lvl w:ilvl="6">
      <w:start w:val="1"/>
      <w:numFmt w:val="decimal"/>
      <w:isLgl/>
      <w:lvlText w:val="%1.%2.%3.%4.%5.%6.%7."/>
      <w:lvlJc w:val="left"/>
      <w:pPr>
        <w:ind w:left="3141" w:hanging="1440"/>
      </w:pPr>
      <w:rPr>
        <w:rFonts w:hint="default"/>
        <w:color w:val="auto"/>
      </w:rPr>
    </w:lvl>
    <w:lvl w:ilvl="7">
      <w:start w:val="1"/>
      <w:numFmt w:val="decimal"/>
      <w:isLgl/>
      <w:lvlText w:val="%1.%2.%3.%4.%5.%6.%7.%8."/>
      <w:lvlJc w:val="left"/>
      <w:pPr>
        <w:ind w:left="3141" w:hanging="1440"/>
      </w:pPr>
      <w:rPr>
        <w:rFonts w:hint="default"/>
        <w:color w:val="auto"/>
      </w:rPr>
    </w:lvl>
    <w:lvl w:ilvl="8">
      <w:start w:val="1"/>
      <w:numFmt w:val="decimal"/>
      <w:isLgl/>
      <w:lvlText w:val="%1.%2.%3.%4.%5.%6.%7.%8.%9."/>
      <w:lvlJc w:val="left"/>
      <w:pPr>
        <w:ind w:left="3501" w:hanging="1800"/>
      </w:pPr>
      <w:rPr>
        <w:rFonts w:hint="default"/>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2B"/>
    <w:rsid w:val="0059029B"/>
    <w:rsid w:val="00D956FD"/>
    <w:rsid w:val="00DB2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BACF"/>
  <w15:chartTrackingRefBased/>
  <w15:docId w15:val="{B2CCCC8A-9F40-41CA-83CB-F6135C2C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2B"/>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22B"/>
    <w:rPr>
      <w:color w:val="0563C1" w:themeColor="hyperlink"/>
      <w:u w:val="single"/>
    </w:rPr>
  </w:style>
  <w:style w:type="character" w:customStyle="1" w:styleId="a4">
    <w:name w:val="Без интервала Знак"/>
    <w:link w:val="a5"/>
    <w:uiPriority w:val="1"/>
    <w:locked/>
    <w:rsid w:val="00DB222B"/>
  </w:style>
  <w:style w:type="paragraph" w:styleId="a5">
    <w:name w:val="No Spacing"/>
    <w:link w:val="a4"/>
    <w:uiPriority w:val="1"/>
    <w:qFormat/>
    <w:rsid w:val="00DB222B"/>
    <w:pPr>
      <w:spacing w:after="0" w:line="240" w:lineRule="auto"/>
    </w:pPr>
  </w:style>
  <w:style w:type="table" w:styleId="a6">
    <w:name w:val="Table Grid"/>
    <w:basedOn w:val="a1"/>
    <w:uiPriority w:val="59"/>
    <w:rsid w:val="00DB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2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2792</Characters>
  <Application>Microsoft Office Word</Application>
  <DocSecurity>0</DocSecurity>
  <Lines>23</Lines>
  <Paragraphs>6</Paragraphs>
  <ScaleCrop>false</ScaleCrop>
  <Company>Home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2017-04-05T12:10:00Z</dcterms:created>
  <dcterms:modified xsi:type="dcterms:W3CDTF">2017-04-05T12:18:00Z</dcterms:modified>
</cp:coreProperties>
</file>