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A2" w:rsidRPr="00365235" w:rsidRDefault="00BC08A2" w:rsidP="00BC08A2">
      <w:pPr>
        <w:pStyle w:val="a5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Corporate action statement</w:t>
      </w:r>
    </w:p>
    <w:p w:rsidR="00BC08A2" w:rsidRPr="00365235" w:rsidRDefault="00BC08A2" w:rsidP="00BC08A2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BC08A2" w:rsidRPr="00365235" w:rsidRDefault="00BC08A2" w:rsidP="00BC08A2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895" w:type="dxa"/>
        <w:tblInd w:w="-289" w:type="dxa"/>
        <w:tblLook w:val="04A0" w:firstRow="1" w:lastRow="0" w:firstColumn="1" w:lastColumn="0" w:noHBand="0" w:noVBand="1"/>
      </w:tblPr>
      <w:tblGrid>
        <w:gridCol w:w="3941"/>
        <w:gridCol w:w="5954"/>
      </w:tblGrid>
      <w:tr w:rsidR="00BC08A2" w:rsidRPr="00365235" w:rsidTr="00370473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numPr>
                <w:ilvl w:val="0"/>
                <w:numId w:val="1"/>
              </w:numPr>
              <w:spacing w:after="120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BC08A2" w:rsidRPr="00EA270E" w:rsidTr="00370473">
        <w:trPr>
          <w:trHeight w:val="59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BC08A2" w:rsidRPr="00365235" w:rsidTr="0037047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BC08A2" w:rsidRPr="00365235" w:rsidTr="0037047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BC08A2" w:rsidRPr="00365235" w:rsidTr="0037047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BC08A2" w:rsidRPr="00365235" w:rsidTr="00370473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BC08A2" w:rsidRPr="00365235" w:rsidTr="0037047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BC08A2" w:rsidRPr="00EA270E" w:rsidTr="0037047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EA270E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BC08A2" w:rsidRPr="003652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BC08A2" w:rsidRPr="00365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08A2" w:rsidRPr="00365235" w:rsidRDefault="00EA270E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BC08A2" w:rsidRPr="0036523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C08A2" w:rsidRPr="00365235" w:rsidTr="00370473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BC08A2" w:rsidRPr="00365235" w:rsidTr="00370473">
        <w:trPr>
          <w:trHeight w:val="142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tabs>
                <w:tab w:val="left" w:pos="284"/>
              </w:tabs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2.1 Quorum of meeting of issuer’s BoD and results of voting on the adopted decisions:</w:t>
            </w:r>
          </w:p>
          <w:p w:rsidR="00BC08A2" w:rsidRPr="00365235" w:rsidRDefault="00BC08A2" w:rsidP="00370473">
            <w:pPr>
              <w:widowControl w:val="0"/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Number of BoD members: 11 members</w:t>
            </w:r>
          </w:p>
          <w:p w:rsidR="00BC08A2" w:rsidRPr="00365235" w:rsidRDefault="00BC08A2" w:rsidP="00370473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BC08A2" w:rsidRPr="00365235" w:rsidRDefault="00BC08A2" w:rsidP="00370473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BC08A2" w:rsidRPr="00365235" w:rsidTr="00370473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A2" w:rsidRPr="00365235" w:rsidRDefault="00BC08A2" w:rsidP="00370473">
                  <w:pPr>
                    <w:pStyle w:val="a5"/>
                    <w:spacing w:after="1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  <w:p w:rsidR="00BC08A2" w:rsidRPr="00365235" w:rsidRDefault="00BC08A2" w:rsidP="00370473">
                  <w:pPr>
                    <w:spacing w:after="120"/>
                    <w:jc w:val="both"/>
                    <w:rPr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A2" w:rsidRPr="00365235" w:rsidRDefault="00BC08A2" w:rsidP="00370473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BC08A2" w:rsidRPr="00365235" w:rsidTr="00370473">
              <w:trPr>
                <w:jc w:val="center"/>
              </w:trPr>
              <w:tc>
                <w:tcPr>
                  <w:tcW w:w="1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08A2" w:rsidRPr="00365235" w:rsidRDefault="00BC08A2" w:rsidP="00370473">
                  <w:pPr>
                    <w:autoSpaceDE/>
                    <w:autoSpaceDN/>
                    <w:spacing w:after="120"/>
                    <w:jc w:val="both"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A2" w:rsidRPr="00365235" w:rsidRDefault="00BC08A2" w:rsidP="00370473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A2" w:rsidRPr="00365235" w:rsidRDefault="00BC08A2" w:rsidP="00370473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A2" w:rsidRPr="00365235" w:rsidRDefault="00BC08A2" w:rsidP="00370473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BC08A2" w:rsidRPr="00365235" w:rsidTr="00370473">
              <w:trPr>
                <w:jc w:val="center"/>
              </w:trPr>
              <w:tc>
                <w:tcPr>
                  <w:tcW w:w="1872" w:type="dxa"/>
                </w:tcPr>
                <w:p w:rsidR="00BC08A2" w:rsidRPr="00365235" w:rsidRDefault="00BC08A2" w:rsidP="00370473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BC08A2" w:rsidRPr="00BC08A2" w:rsidRDefault="00BC08A2" w:rsidP="0037047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</w:tcPr>
                <w:p w:rsidR="00BC08A2" w:rsidRPr="00365235" w:rsidRDefault="00BC08A2" w:rsidP="0037047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BC08A2" w:rsidRPr="00BC08A2" w:rsidRDefault="00BC08A2" w:rsidP="0037047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BC08A2" w:rsidRPr="00365235" w:rsidTr="00370473">
              <w:trPr>
                <w:jc w:val="center"/>
              </w:trPr>
              <w:tc>
                <w:tcPr>
                  <w:tcW w:w="1872" w:type="dxa"/>
                </w:tcPr>
                <w:p w:rsidR="00BC08A2" w:rsidRPr="00365235" w:rsidRDefault="00BC08A2" w:rsidP="00370473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BC08A2" w:rsidRPr="00BC08A2" w:rsidRDefault="00BC08A2" w:rsidP="0037047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</w:tcPr>
                <w:p w:rsidR="00BC08A2" w:rsidRPr="00365235" w:rsidRDefault="00BC08A2" w:rsidP="0037047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BC08A2" w:rsidRPr="00BC08A2" w:rsidRDefault="00BC08A2" w:rsidP="0037047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</w:tbl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C08A2" w:rsidRPr="00EA270E" w:rsidTr="00370473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76" w:rsidRDefault="00D17276" w:rsidP="00D17276">
            <w:pPr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Disclosure of i</w:t>
            </w:r>
            <w:r>
              <w:rPr>
                <w:b/>
                <w:color w:val="000000" w:themeColor="text1"/>
                <w:lang w:val="en-US" w:eastAsia="en-US"/>
              </w:rPr>
              <w:t>nsider information/Approval on internal documents</w:t>
            </w:r>
          </w:p>
          <w:p w:rsidR="00BC08A2" w:rsidRPr="00365235" w:rsidRDefault="00D17276" w:rsidP="00D17276">
            <w:pPr>
              <w:tabs>
                <w:tab w:val="left" w:pos="426"/>
                <w:tab w:val="left" w:pos="993"/>
              </w:tabs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="00BC08A2" w:rsidRPr="00365235">
              <w:rPr>
                <w:b/>
                <w:color w:val="000000" w:themeColor="text1"/>
                <w:lang w:val="en-US" w:eastAsia="en-US"/>
              </w:rPr>
              <w:t>1 “</w:t>
            </w:r>
            <w:r w:rsidR="00BC08A2" w:rsidRPr="00BC08A2">
              <w:rPr>
                <w:b/>
                <w:lang w:val="en-US" w:eastAsia="en-US"/>
              </w:rPr>
              <w:t xml:space="preserve">On approval of the business plan of </w:t>
            </w:r>
            <w:r w:rsidR="00BC08A2" w:rsidRPr="00BC08A2">
              <w:rPr>
                <w:b/>
                <w:lang w:val="en-US"/>
              </w:rPr>
              <w:t>Kubanenergo</w:t>
            </w:r>
            <w:r w:rsidR="00BC08A2" w:rsidRPr="00BC08A2">
              <w:rPr>
                <w:b/>
                <w:lang w:val="en-US" w:eastAsia="en-US"/>
              </w:rPr>
              <w:t xml:space="preserve"> PJSC, which includes investment programme and information on key operational risks, for 2017 and estimates for 2018-2021</w:t>
            </w:r>
            <w:r w:rsidR="00BC08A2" w:rsidRPr="00365235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C08A2" w:rsidRPr="00EA270E" w:rsidTr="00370473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>2.2.1.  Decision adopted by issuer’s Board of Directors:</w:t>
            </w:r>
          </w:p>
          <w:p w:rsidR="00BC08A2" w:rsidRDefault="00816CA1" w:rsidP="00816CA1">
            <w:pPr>
              <w:spacing w:after="12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1. To approve the </w:t>
            </w:r>
            <w:r w:rsidRPr="00816CA1">
              <w:rPr>
                <w:lang w:val="en-US" w:eastAsia="en-US"/>
              </w:rPr>
              <w:t xml:space="preserve">business plan of </w:t>
            </w:r>
            <w:r w:rsidRPr="00816CA1">
              <w:rPr>
                <w:lang w:val="en-US"/>
              </w:rPr>
              <w:t>Kubanenergo</w:t>
            </w:r>
            <w:r w:rsidRPr="00816CA1">
              <w:rPr>
                <w:lang w:val="en-US" w:eastAsia="en-US"/>
              </w:rPr>
              <w:t xml:space="preserve"> PJSC, which includes investment programme and information on key operational risks, for 2017 and estimates for 2018-2021</w:t>
            </w:r>
            <w:r>
              <w:rPr>
                <w:lang w:val="en-US" w:eastAsia="en-US"/>
              </w:rPr>
              <w:t>, in accordance with Annex 1 to the present decisions of the Company’s BoD.</w:t>
            </w:r>
          </w:p>
          <w:p w:rsidR="00816CA1" w:rsidRDefault="00816CA1" w:rsidP="00816CA1">
            <w:pPr>
              <w:spacing w:after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</w:t>
            </w:r>
            <w:r w:rsidR="00991900">
              <w:rPr>
                <w:lang w:val="en-US" w:eastAsia="en-US"/>
              </w:rPr>
              <w:t>To instruct the Sole executive body of Kubanenergo PJSC to ensure:</w:t>
            </w:r>
          </w:p>
          <w:p w:rsidR="00991900" w:rsidRDefault="00991900" w:rsidP="00991900">
            <w:pPr>
              <w:spacing w:after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2.1. in 2017 the preparation and inclusion, in accordance with the current legislation, the proposals on tariffs (for the next long-term period) for the base level of operational expenses and expenses from profit; these proposals should not be lower than the ones stipulated by the Company’s business plan for 2017-2021.</w:t>
            </w:r>
            <w:r w:rsidR="00775E3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Deadline: 31.12.2017 </w:t>
            </w:r>
          </w:p>
          <w:p w:rsidR="00991900" w:rsidRDefault="00775E3B" w:rsidP="00775E3B">
            <w:pPr>
              <w:pStyle w:val="a7"/>
              <w:numPr>
                <w:ilvl w:val="1"/>
                <w:numId w:val="2"/>
              </w:numPr>
              <w:spacing w:after="120"/>
              <w:ind w:left="34" w:firstLine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lastRenderedPageBreak/>
              <w:t>unconditional implementation of the key parameters of the business plan in 2017: Debt/EBITDA, accounts payable to suppliers and contractors, payment for electricity transmission services.</w:t>
            </w:r>
          </w:p>
          <w:p w:rsidR="00724E59" w:rsidRDefault="00E612B3" w:rsidP="00724E59">
            <w:pPr>
              <w:pStyle w:val="a7"/>
              <w:numPr>
                <w:ilvl w:val="1"/>
                <w:numId w:val="2"/>
              </w:numPr>
              <w:tabs>
                <w:tab w:val="left" w:pos="311"/>
                <w:tab w:val="left" w:pos="491"/>
              </w:tabs>
              <w:spacing w:after="120"/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 w:rsidRPr="00E612B3">
              <w:rPr>
                <w:color w:val="000000" w:themeColor="text1"/>
                <w:lang w:val="en-US" w:eastAsia="en-US"/>
              </w:rPr>
              <w:t xml:space="preserve">cash flows in 2017 under contracts from the provision of services for technological connection for the purpose of financing activities for implementation of technological connection of at least 2.7 </w:t>
            </w:r>
            <w:r>
              <w:rPr>
                <w:color w:val="000000" w:themeColor="text1"/>
                <w:lang w:val="en-US" w:eastAsia="en-US"/>
              </w:rPr>
              <w:t>billion</w:t>
            </w:r>
            <w:r w:rsidRPr="00E612B3">
              <w:rPr>
                <w:color w:val="000000" w:themeColor="text1"/>
                <w:lang w:val="en-US" w:eastAsia="en-US"/>
              </w:rPr>
              <w:t xml:space="preserve"> rubles, including grid connection agreements with Federal state institution </w:t>
            </w:r>
            <w:r>
              <w:rPr>
                <w:color w:val="000000" w:themeColor="text1"/>
                <w:lang w:val="en-US" w:eastAsia="en-US"/>
              </w:rPr>
              <w:t>“</w:t>
            </w:r>
            <w:r w:rsidRPr="00E612B3">
              <w:rPr>
                <w:color w:val="000000" w:themeColor="text1"/>
                <w:lang w:val="en-US" w:eastAsia="en-US"/>
              </w:rPr>
              <w:t>Rostransmodernizatsiya</w:t>
            </w:r>
            <w:r>
              <w:rPr>
                <w:color w:val="000000" w:themeColor="text1"/>
                <w:lang w:val="en-US" w:eastAsia="en-US"/>
              </w:rPr>
              <w:t xml:space="preserve">” </w:t>
            </w:r>
            <w:r w:rsidRPr="00E612B3">
              <w:rPr>
                <w:color w:val="000000" w:themeColor="text1"/>
                <w:lang w:val="en-US" w:eastAsia="en-US"/>
              </w:rPr>
              <w:t xml:space="preserve"> in the amount of not less than 2 2 billion rubles.</w:t>
            </w:r>
          </w:p>
          <w:p w:rsidR="00724E59" w:rsidRPr="00724E59" w:rsidRDefault="00315F5D" w:rsidP="00724E59">
            <w:pPr>
              <w:pStyle w:val="a7"/>
              <w:numPr>
                <w:ilvl w:val="1"/>
                <w:numId w:val="2"/>
              </w:numPr>
              <w:tabs>
                <w:tab w:val="left" w:pos="311"/>
                <w:tab w:val="left" w:pos="491"/>
              </w:tabs>
              <w:spacing w:after="120"/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 w:rsidRPr="00724E59">
              <w:rPr>
                <w:color w:val="000000" w:themeColor="text1"/>
                <w:lang w:val="en-US" w:eastAsia="en-US"/>
              </w:rPr>
              <w:t xml:space="preserve">inclusion of expenses on implementation of R&amp;D projects at the next adjustment of the investment programme within the limits of the volumes and sources of financing the investment programme for the period of 2018-2022 with the regard of changes introduced to the investment programme of the Company for 2016-2020, that was approved by </w:t>
            </w:r>
            <w:r w:rsidR="00724E59" w:rsidRPr="00724E59">
              <w:rPr>
                <w:color w:val="000000" w:themeColor="text1"/>
                <w:lang w:val="en-US" w:eastAsia="en-US"/>
              </w:rPr>
              <w:t xml:space="preserve">the RF Ministry of Energy on 22.12.2016 in the order No.1388, in accordance with the </w:t>
            </w:r>
            <w:r w:rsidR="00887C10" w:rsidRPr="00724E59">
              <w:rPr>
                <w:color w:val="000000" w:themeColor="text1"/>
                <w:lang w:val="en-US" w:eastAsia="en-US"/>
              </w:rPr>
              <w:t>decision</w:t>
            </w:r>
            <w:r w:rsidR="00724E59" w:rsidRPr="00724E59">
              <w:rPr>
                <w:color w:val="000000" w:themeColor="text1"/>
                <w:lang w:val="en-US" w:eastAsia="en-US"/>
              </w:rPr>
              <w:t xml:space="preserve"> of the BoD taken on 22.02.2017, minutes of meeting No.263/2017</w:t>
            </w:r>
            <w:r w:rsidR="00724E59" w:rsidRPr="00724E59">
              <w:rPr>
                <w:lang w:val="en-US" w:eastAsia="en-US"/>
              </w:rPr>
              <w:t xml:space="preserve">, in accordance with Annex </w:t>
            </w:r>
            <w:r w:rsidR="00724E59">
              <w:rPr>
                <w:lang w:val="en-US" w:eastAsia="en-US"/>
              </w:rPr>
              <w:t>2</w:t>
            </w:r>
            <w:r w:rsidR="00724E59" w:rsidRPr="00724E59">
              <w:rPr>
                <w:lang w:val="en-US" w:eastAsia="en-US"/>
              </w:rPr>
              <w:t xml:space="preserve"> to the present decisions of the Company’s BoD.</w:t>
            </w:r>
            <w:r w:rsidR="00724E59">
              <w:rPr>
                <w:lang w:val="en-US" w:eastAsia="en-US"/>
              </w:rPr>
              <w:t xml:space="preserve"> Deadline: 31.03.2017</w:t>
            </w:r>
          </w:p>
          <w:p w:rsidR="00E612B3" w:rsidRPr="00724E59" w:rsidRDefault="00724E59" w:rsidP="00724E59">
            <w:pPr>
              <w:pStyle w:val="a7"/>
              <w:numPr>
                <w:ilvl w:val="1"/>
                <w:numId w:val="2"/>
              </w:numPr>
              <w:tabs>
                <w:tab w:val="left" w:pos="311"/>
                <w:tab w:val="left" w:pos="491"/>
              </w:tabs>
              <w:spacing w:after="120"/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implementation of the planned for 2017 risk managements events, paying attention to the risks with significant </w:t>
            </w:r>
            <w:r w:rsidRPr="00724E59">
              <w:rPr>
                <w:color w:val="000000" w:themeColor="text1"/>
                <w:lang w:val="en-US" w:eastAsia="en-US"/>
              </w:rPr>
              <w:t>materiality level</w:t>
            </w:r>
            <w:r w:rsidRPr="00724E59">
              <w:rPr>
                <w:lang w:val="en-US" w:eastAsia="en-US"/>
              </w:rPr>
              <w:t xml:space="preserve">, in accordance with Annex </w:t>
            </w:r>
            <w:r>
              <w:rPr>
                <w:lang w:val="en-US" w:eastAsia="en-US"/>
              </w:rPr>
              <w:t>3</w:t>
            </w:r>
            <w:r w:rsidRPr="00724E59">
              <w:rPr>
                <w:lang w:val="en-US" w:eastAsia="en-US"/>
              </w:rPr>
              <w:t xml:space="preserve"> to the present decisions of the Company’s BoD.</w:t>
            </w:r>
          </w:p>
          <w:p w:rsidR="00887C10" w:rsidRDefault="00887C10" w:rsidP="00724E59">
            <w:pPr>
              <w:pStyle w:val="a7"/>
              <w:numPr>
                <w:ilvl w:val="1"/>
                <w:numId w:val="2"/>
              </w:numPr>
              <w:tabs>
                <w:tab w:val="left" w:pos="311"/>
                <w:tab w:val="left" w:pos="491"/>
              </w:tabs>
              <w:spacing w:after="120"/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that when summing up the indicators of the Company’s business plan for 2018-2022, the Company takes into account implementation of order described in paragraph 2.1 of this resolution of the BoD.</w:t>
            </w:r>
          </w:p>
          <w:p w:rsidR="00724E59" w:rsidRPr="00991900" w:rsidRDefault="00887C10" w:rsidP="00887C10">
            <w:pPr>
              <w:pStyle w:val="a7"/>
              <w:numPr>
                <w:ilvl w:val="1"/>
                <w:numId w:val="2"/>
              </w:numPr>
              <w:tabs>
                <w:tab w:val="left" w:pos="311"/>
                <w:tab w:val="left" w:pos="491"/>
              </w:tabs>
              <w:spacing w:after="120"/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if the resolution described in the paragraph 2.1 is not fulfilled, to ensure the matching of operational expenses in the business plan of Kubanenergo 2018-2022 to the level of expenses in tariff proposals for 2018. </w:t>
            </w:r>
          </w:p>
        </w:tc>
      </w:tr>
      <w:tr w:rsidR="00BC08A2" w:rsidRPr="00EA270E" w:rsidTr="00370473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Default="00BC08A2" w:rsidP="00D17276">
            <w:pPr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lastRenderedPageBreak/>
              <w:t>Disclosure of i</w:t>
            </w:r>
            <w:r>
              <w:rPr>
                <w:b/>
                <w:color w:val="000000" w:themeColor="text1"/>
                <w:lang w:val="en-US" w:eastAsia="en-US"/>
              </w:rPr>
              <w:t>nsider information</w:t>
            </w:r>
            <w:r w:rsidR="00D17276">
              <w:rPr>
                <w:b/>
                <w:color w:val="000000" w:themeColor="text1"/>
                <w:lang w:val="en-US" w:eastAsia="en-US"/>
              </w:rPr>
              <w:t>/Approval on internal documents</w:t>
            </w:r>
          </w:p>
          <w:p w:rsidR="00BC08A2" w:rsidRPr="00BC08A2" w:rsidRDefault="00D17276" w:rsidP="00D17276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</w:t>
            </w:r>
            <w:r w:rsidR="00BC08A2">
              <w:rPr>
                <w:b/>
                <w:color w:val="000000" w:themeColor="text1"/>
                <w:lang w:val="en-US" w:eastAsia="en-US"/>
              </w:rPr>
              <w:t>tem No. 2</w:t>
            </w:r>
            <w:r w:rsidR="00BC08A2" w:rsidRPr="00BC08A2">
              <w:rPr>
                <w:b/>
                <w:color w:val="000000" w:themeColor="text1"/>
                <w:lang w:val="en-US" w:eastAsia="en-US"/>
              </w:rPr>
              <w:t xml:space="preserve"> </w:t>
            </w:r>
            <w:r w:rsidR="00BC08A2">
              <w:rPr>
                <w:b/>
                <w:color w:val="000000" w:themeColor="text1"/>
                <w:lang w:val="en-US" w:eastAsia="en-US"/>
              </w:rPr>
              <w:t>“</w:t>
            </w:r>
            <w:r w:rsidR="00BC08A2" w:rsidRPr="00BC08A2">
              <w:rPr>
                <w:b/>
                <w:lang w:val="en-US" w:eastAsia="en-US"/>
              </w:rPr>
              <w:t>On approval of the adjusted credit plan of Kubanenergo PJSC for the 1</w:t>
            </w:r>
            <w:r w:rsidR="00BC08A2" w:rsidRPr="00BC08A2">
              <w:rPr>
                <w:b/>
                <w:vertAlign w:val="superscript"/>
                <w:lang w:val="en-US" w:eastAsia="en-US"/>
              </w:rPr>
              <w:t>st</w:t>
            </w:r>
            <w:r w:rsidR="00BC08A2" w:rsidRPr="00BC08A2">
              <w:rPr>
                <w:b/>
                <w:lang w:val="en-US" w:eastAsia="en-US"/>
              </w:rPr>
              <w:t xml:space="preserve"> quarter of 2017</w:t>
            </w:r>
            <w:r w:rsidR="00BC08A2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C08A2" w:rsidRPr="00EA270E" w:rsidTr="00370473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A2" w:rsidRPr="00365235" w:rsidRDefault="00BC08A2" w:rsidP="00BC08A2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>2.2.</w:t>
            </w:r>
            <w:r>
              <w:rPr>
                <w:color w:val="000000" w:themeColor="text1"/>
                <w:lang w:val="en-US"/>
              </w:rPr>
              <w:t>2</w:t>
            </w:r>
            <w:r w:rsidRPr="00365235">
              <w:rPr>
                <w:color w:val="000000" w:themeColor="text1"/>
                <w:lang w:val="en-US"/>
              </w:rPr>
              <w:t>.  Decision adopted by issuer’s Board of Directors:</w:t>
            </w:r>
          </w:p>
          <w:p w:rsidR="00BC08A2" w:rsidRPr="00365235" w:rsidRDefault="00BC08A2" w:rsidP="00370473">
            <w:pPr>
              <w:spacing w:after="12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To approve the </w:t>
            </w:r>
            <w:r w:rsidRPr="00BC08A2">
              <w:rPr>
                <w:lang w:val="en-US" w:eastAsia="en-US"/>
              </w:rPr>
              <w:t>credit plan of Kubanenergo PJSC</w:t>
            </w:r>
            <w:r>
              <w:rPr>
                <w:lang w:val="en-US" w:eastAsia="en-US"/>
              </w:rPr>
              <w:t xml:space="preserve"> in new versions, in accordance with Annex 4 to the present decisions of the Company’s BoD.</w:t>
            </w:r>
          </w:p>
        </w:tc>
      </w:tr>
      <w:tr w:rsidR="00BC08A2" w:rsidRPr="00EA270E" w:rsidTr="00370473">
        <w:trPr>
          <w:trHeight w:val="80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A2" w:rsidRPr="00365235" w:rsidRDefault="00BC08A2" w:rsidP="0037047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Board of Directors at which the resolutions have been adopted: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28</w:t>
            </w:r>
            <w:r w:rsidRPr="00FE3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February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2017</w:t>
            </w:r>
          </w:p>
          <w:p w:rsidR="00BC08A2" w:rsidRPr="00365235" w:rsidRDefault="00BC08A2" w:rsidP="00BC08A2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2.4. Date of making and number of minutes of meeting at which the resolutions have been adopted: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 March 2017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, minutes of meeting No.26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984"/>
        <w:gridCol w:w="2013"/>
      </w:tblGrid>
      <w:tr w:rsidR="00BC08A2" w:rsidRPr="00365235" w:rsidTr="00370473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08A2" w:rsidRPr="00365235" w:rsidRDefault="00BC08A2" w:rsidP="00370473">
            <w:pPr>
              <w:spacing w:after="120"/>
              <w:jc w:val="center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BC08A2" w:rsidRPr="00365235" w:rsidTr="00370473">
        <w:trPr>
          <w:cantSplit/>
          <w:trHeight w:val="11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08A2" w:rsidRPr="00365235" w:rsidRDefault="00BC08A2" w:rsidP="00EA270E">
            <w:pPr>
              <w:pStyle w:val="Default"/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 xml:space="preserve">3.1  </w:t>
            </w:r>
            <w:r w:rsidR="00EA270E">
              <w:rPr>
                <w:color w:val="000000" w:themeColor="text1"/>
                <w:lang w:val="en-US"/>
              </w:rPr>
              <w:t>Acting</w:t>
            </w:r>
            <w:bookmarkStart w:id="0" w:name="_GoBack"/>
            <w:bookmarkEnd w:id="0"/>
            <w:r w:rsidR="00EA270E" w:rsidRPr="00EA270E">
              <w:rPr>
                <w:color w:val="000000" w:themeColor="text1"/>
                <w:lang w:val="en-US"/>
              </w:rPr>
              <w:t xml:space="preserve"> </w:t>
            </w:r>
            <w:r w:rsidRPr="00365235">
              <w:rPr>
                <w:color w:val="000000" w:themeColor="text1"/>
                <w:lang w:val="en-US"/>
              </w:rPr>
              <w:t>Deputy Director General in charge of Corporate Governance (by power of attorney No.</w:t>
            </w:r>
            <w:r>
              <w:rPr>
                <w:color w:val="000000" w:themeColor="text1"/>
                <w:lang w:val="en-US"/>
              </w:rPr>
              <w:t>119/10-337</w:t>
            </w:r>
            <w:r w:rsidRPr="00365235">
              <w:rPr>
                <w:color w:val="000000" w:themeColor="text1"/>
                <w:lang w:val="en-US"/>
              </w:rPr>
              <w:t xml:space="preserve"> dated </w:t>
            </w:r>
            <w:r>
              <w:rPr>
                <w:color w:val="000000" w:themeColor="text1"/>
                <w:lang w:val="en-US"/>
              </w:rPr>
              <w:t>17.01.2017</w:t>
            </w:r>
            <w:r w:rsidRPr="00365235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08A2" w:rsidRPr="00365235" w:rsidRDefault="00BC08A2" w:rsidP="0037047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_______________</w:t>
            </w:r>
          </w:p>
          <w:p w:rsidR="00BC08A2" w:rsidRPr="00365235" w:rsidRDefault="00BC08A2" w:rsidP="0037047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08A2" w:rsidRPr="00365235" w:rsidRDefault="00BC08A2" w:rsidP="0037047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Didenko Ye.Ye.</w:t>
            </w:r>
          </w:p>
          <w:p w:rsidR="00BC08A2" w:rsidRPr="00365235" w:rsidRDefault="00BC08A2" w:rsidP="0037047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BC08A2" w:rsidRPr="00365235" w:rsidTr="00370473">
        <w:trPr>
          <w:cantSplit/>
          <w:trHeight w:val="645"/>
        </w:trPr>
        <w:tc>
          <w:tcPr>
            <w:tcW w:w="5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08A2" w:rsidRPr="00365235" w:rsidRDefault="00BC08A2" w:rsidP="00BC08A2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3.2 Date: </w:t>
            </w:r>
            <w:r>
              <w:rPr>
                <w:color w:val="000000" w:themeColor="text1"/>
                <w:lang w:val="en-US" w:eastAsia="en-US"/>
              </w:rPr>
              <w:t>6 March</w:t>
            </w:r>
            <w:r w:rsidRPr="00365235">
              <w:rPr>
                <w:color w:val="000000" w:themeColor="text1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08A2" w:rsidRPr="00365235" w:rsidRDefault="00BC08A2" w:rsidP="0037047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08A2" w:rsidRPr="00365235" w:rsidRDefault="00BC08A2" w:rsidP="00370473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BC08A2" w:rsidRDefault="00BC08A2" w:rsidP="00BC08A2"/>
    <w:p w:rsidR="0059029B" w:rsidRDefault="0059029B"/>
    <w:sectPr w:rsidR="0059029B" w:rsidSect="0073687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  <w:color w:val="auto"/>
      </w:r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A2"/>
    <w:rsid w:val="00315F5D"/>
    <w:rsid w:val="0059029B"/>
    <w:rsid w:val="00724E59"/>
    <w:rsid w:val="00775E3B"/>
    <w:rsid w:val="00816CA1"/>
    <w:rsid w:val="00887C10"/>
    <w:rsid w:val="00991900"/>
    <w:rsid w:val="00BC08A2"/>
    <w:rsid w:val="00D17276"/>
    <w:rsid w:val="00D956FD"/>
    <w:rsid w:val="00E612B3"/>
    <w:rsid w:val="00E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E7310-7133-4181-AFC9-C579947B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8A2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C08A2"/>
  </w:style>
  <w:style w:type="paragraph" w:styleId="a5">
    <w:name w:val="No Spacing"/>
    <w:link w:val="a4"/>
    <w:uiPriority w:val="1"/>
    <w:qFormat/>
    <w:rsid w:val="00BC08A2"/>
    <w:pPr>
      <w:spacing w:after="0" w:line="240" w:lineRule="auto"/>
    </w:pPr>
  </w:style>
  <w:style w:type="table" w:styleId="a6">
    <w:name w:val="Table Grid"/>
    <w:basedOn w:val="a1"/>
    <w:uiPriority w:val="59"/>
    <w:rsid w:val="00BC0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0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9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11</cp:revision>
  <dcterms:created xsi:type="dcterms:W3CDTF">2017-03-06T11:23:00Z</dcterms:created>
  <dcterms:modified xsi:type="dcterms:W3CDTF">2017-03-06T14:23:00Z</dcterms:modified>
</cp:coreProperties>
</file>