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B15" w:rsidRDefault="00C50B15" w:rsidP="00C50B15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C50B15" w:rsidRDefault="00C50B15" w:rsidP="00C50B15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meeting of the issuer’s Board of Directors and its agenda”</w:t>
      </w:r>
    </w:p>
    <w:p w:rsidR="00C50B15" w:rsidRDefault="00C50B15" w:rsidP="00C50B15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</w:t>
      </w:r>
      <w:proofErr w:type="gramStart"/>
      <w:r>
        <w:rPr>
          <w:b/>
          <w:bCs/>
          <w:sz w:val="24"/>
          <w:szCs w:val="24"/>
          <w:lang w:val="en-US"/>
        </w:rPr>
        <w:t>disclosure</w:t>
      </w:r>
      <w:proofErr w:type="gramEnd"/>
      <w:r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268"/>
        <w:gridCol w:w="1984"/>
        <w:gridCol w:w="2126"/>
      </w:tblGrid>
      <w:tr w:rsidR="00C50B15" w:rsidTr="00874ACC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15" w:rsidRDefault="00C50B15" w:rsidP="00874ACC">
            <w:pPr>
              <w:pStyle w:val="a4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plan of activities</w:t>
            </w:r>
          </w:p>
        </w:tc>
      </w:tr>
      <w:tr w:rsidR="00C50B15" w:rsidRPr="00C50B15" w:rsidTr="00874ACC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15" w:rsidRDefault="00C50B15" w:rsidP="00874ACC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full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15" w:rsidRDefault="00C50B15" w:rsidP="00874ACC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joint-stock company of power industry  and electrification of Kuban</w:t>
            </w:r>
          </w:p>
        </w:tc>
      </w:tr>
      <w:tr w:rsidR="00C50B15" w:rsidTr="00874AC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15" w:rsidRDefault="00C50B15" w:rsidP="00874ACC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15" w:rsidRDefault="00C50B15" w:rsidP="00874ACC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C50B15" w:rsidTr="00874AC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15" w:rsidRDefault="00C50B15" w:rsidP="00874ACC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15" w:rsidRDefault="00C50B15" w:rsidP="00874ACC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C50B15" w:rsidTr="00874AC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15" w:rsidRDefault="00C50B15" w:rsidP="00874ACC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15" w:rsidRDefault="00C50B15" w:rsidP="00874ACC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C50B15" w:rsidTr="00874AC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15" w:rsidRDefault="00C50B15" w:rsidP="00874ACC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15" w:rsidRDefault="00C50B15" w:rsidP="00874ACC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C50B15" w:rsidTr="00874AC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15" w:rsidRDefault="00C50B15" w:rsidP="00874ACC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15" w:rsidRDefault="00C50B15" w:rsidP="00874ACC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C50B15" w:rsidRPr="00C50B15" w:rsidTr="00874AC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15" w:rsidRDefault="00C50B15" w:rsidP="00874ACC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15" w:rsidRPr="005601B2" w:rsidRDefault="00C50B15" w:rsidP="00874ACC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http://</w:t>
            </w:r>
            <w:hyperlink r:id="rId4" w:history="1">
              <w:r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C50B15" w:rsidRPr="005601B2" w:rsidRDefault="00C50B15" w:rsidP="00874ACC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5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C50B15" w:rsidTr="00874ACC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50B15" w:rsidRDefault="00C50B15" w:rsidP="00874ACC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C50B15" w:rsidRPr="00C50B15" w:rsidTr="00874ACC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50B15" w:rsidRDefault="00C50B15" w:rsidP="00874ACC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 w:rsidRPr="008429FC">
              <w:rPr>
                <w:b/>
                <w:sz w:val="24"/>
                <w:szCs w:val="24"/>
                <w:lang w:val="en-US" w:eastAsia="en-US"/>
              </w:rPr>
              <w:t>1</w:t>
            </w:r>
            <w:r w:rsidRPr="00C50B15">
              <w:rPr>
                <w:b/>
                <w:sz w:val="24"/>
                <w:szCs w:val="24"/>
                <w:lang w:val="en-US" w:eastAsia="en-US"/>
              </w:rPr>
              <w:t>2</w:t>
            </w:r>
            <w:r w:rsidRPr="008429FC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December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2016</w:t>
            </w:r>
          </w:p>
        </w:tc>
      </w:tr>
      <w:tr w:rsidR="00C50B15" w:rsidRPr="00C50B15" w:rsidTr="00874ACC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50B15" w:rsidRDefault="00C50B15" w:rsidP="00C50B1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Pr="00C50B15">
              <w:rPr>
                <w:b/>
                <w:sz w:val="24"/>
                <w:szCs w:val="24"/>
                <w:lang w:val="en-US" w:eastAsia="en-US"/>
              </w:rPr>
              <w:t>14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December 2016</w:t>
            </w:r>
          </w:p>
        </w:tc>
      </w:tr>
      <w:tr w:rsidR="00C50B15" w:rsidRPr="00C50B15" w:rsidTr="00874ACC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50B15" w:rsidRDefault="00C50B15" w:rsidP="00874ACC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C50B15" w:rsidRPr="00C50B15" w:rsidRDefault="00C50B15" w:rsidP="00C50B15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12. </w:t>
            </w:r>
            <w:r w:rsidRPr="00C50B15">
              <w:rPr>
                <w:sz w:val="24"/>
                <w:szCs w:val="24"/>
                <w:lang w:val="en-US" w:eastAsia="en-US"/>
              </w:rPr>
              <w:t>On discussion of the Plan of activities</w:t>
            </w:r>
            <w:r>
              <w:rPr>
                <w:sz w:val="24"/>
                <w:szCs w:val="24"/>
                <w:lang w:val="en-US" w:eastAsia="en-US"/>
              </w:rPr>
              <w:t xml:space="preserve"> for implementation of resolutions of the Board of Directors of Rosseti PJSC (minutes of meeting No.232 dared 09.06.2016) and the Plan of Development of Kubanenergo PJSC </w:t>
            </w:r>
            <w:bookmarkStart w:id="0" w:name="_GoBack"/>
            <w:bookmarkEnd w:id="0"/>
          </w:p>
        </w:tc>
      </w:tr>
      <w:tr w:rsidR="00C50B15" w:rsidTr="00874ACC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50B15" w:rsidRDefault="00C50B15" w:rsidP="00874ACC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C50B15" w:rsidTr="00874ACC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50B15" w:rsidRDefault="00C50B15" w:rsidP="00874ACC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No.1-847 dated 25.05.2016)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50B15" w:rsidRDefault="00C50B15" w:rsidP="00874ACC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C50B15" w:rsidRDefault="00C50B15" w:rsidP="00874ACC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50B15" w:rsidRDefault="00C50B15" w:rsidP="00874ACC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C50B15" w:rsidRDefault="00C50B15" w:rsidP="00874ACC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C50B15" w:rsidTr="00874ACC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50B15" w:rsidRDefault="00C50B15" w:rsidP="00C50B1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13</w:t>
            </w:r>
            <w:r>
              <w:rPr>
                <w:sz w:val="24"/>
                <w:szCs w:val="24"/>
                <w:lang w:val="en-US" w:eastAsia="en-US"/>
              </w:rPr>
              <w:t xml:space="preserve"> December 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50B15" w:rsidRDefault="00C50B15" w:rsidP="00874ACC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50B15" w:rsidRDefault="00C50B15" w:rsidP="00874ACC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C50B15" w:rsidRDefault="00C50B15" w:rsidP="00C50B15">
      <w:pPr>
        <w:rPr>
          <w:sz w:val="24"/>
          <w:szCs w:val="24"/>
        </w:rPr>
      </w:pPr>
    </w:p>
    <w:p w:rsidR="00C50B15" w:rsidRDefault="00C50B15" w:rsidP="00C50B15"/>
    <w:p w:rsidR="00C50B15" w:rsidRDefault="00C50B15" w:rsidP="00C50B15"/>
    <w:p w:rsidR="00C50B15" w:rsidRDefault="00C50B15" w:rsidP="00C50B15"/>
    <w:p w:rsidR="00C50B15" w:rsidRDefault="00C50B15" w:rsidP="00C50B15"/>
    <w:p w:rsidR="00C50B15" w:rsidRDefault="00C50B15" w:rsidP="00C50B15"/>
    <w:p w:rsidR="00C50B15" w:rsidRDefault="00C50B15" w:rsidP="00C50B15">
      <w:r>
        <w:t xml:space="preserve"> </w:t>
      </w:r>
    </w:p>
    <w:p w:rsidR="00D31653" w:rsidRDefault="00D31653"/>
    <w:sectPr w:rsidR="00D31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B15"/>
    <w:rsid w:val="00C50B15"/>
    <w:rsid w:val="00D3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B8D27-B197-45B0-AF5A-D0652139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B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0B15"/>
    <w:rPr>
      <w:color w:val="0000FF"/>
      <w:u w:val="single"/>
    </w:rPr>
  </w:style>
  <w:style w:type="paragraph" w:styleId="a4">
    <w:name w:val="No Spacing"/>
    <w:uiPriority w:val="1"/>
    <w:qFormat/>
    <w:rsid w:val="00C50B1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C50B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C50B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2827" TargetMode="External"/><Relationship Id="rId4" Type="http://schemas.openxmlformats.org/officeDocument/2006/relationships/hyperlink" Target="http://www.kubanener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1216</Characters>
  <Application>Microsoft Office Word</Application>
  <DocSecurity>0</DocSecurity>
  <Lines>10</Lines>
  <Paragraphs>2</Paragraphs>
  <ScaleCrop>false</ScaleCrop>
  <Company>Home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2016-12-14T21:27:00Z</dcterms:created>
  <dcterms:modified xsi:type="dcterms:W3CDTF">2016-12-14T21:29:00Z</dcterms:modified>
</cp:coreProperties>
</file>