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30C" w:rsidRPr="0023247B" w:rsidRDefault="00E2230C" w:rsidP="00382829">
      <w:pPr>
        <w:pStyle w:val="ConsNonformat"/>
        <w:jc w:val="center"/>
        <w:rPr>
          <w:rFonts w:ascii="Times New Roman" w:hAnsi="Times New Roman" w:cs="Times New Roman"/>
          <w:b/>
          <w:bCs/>
          <w:sz w:val="24"/>
          <w:szCs w:val="24"/>
          <w:lang w:val="en-US"/>
        </w:rPr>
      </w:pPr>
      <w:r w:rsidRPr="00382829">
        <w:rPr>
          <w:rFonts w:ascii="Times New Roman" w:hAnsi="Times New Roman" w:cs="Times New Roman"/>
          <w:b/>
          <w:bCs/>
          <w:sz w:val="24"/>
          <w:szCs w:val="24"/>
          <w:lang w:val="en-US"/>
        </w:rPr>
        <w:t>Corporate action statement</w:t>
      </w:r>
      <w:r w:rsidR="0023247B" w:rsidRPr="00382829">
        <w:rPr>
          <w:rFonts w:ascii="Times New Roman" w:hAnsi="Times New Roman" w:cs="Times New Roman"/>
          <w:b/>
          <w:bCs/>
          <w:sz w:val="24"/>
          <w:szCs w:val="24"/>
          <w:lang w:val="en-US"/>
        </w:rPr>
        <w:t xml:space="preserve"> on </w:t>
      </w:r>
      <w:r w:rsidR="0023247B" w:rsidRPr="00382829">
        <w:rPr>
          <w:rFonts w:ascii="Times New Roman" w:hAnsi="Times New Roman" w:cs="Times New Roman"/>
          <w:b/>
          <w:sz w:val="24"/>
          <w:szCs w:val="24"/>
          <w:lang w:val="en-US"/>
        </w:rPr>
        <w:t xml:space="preserve">stages of procedure for issue of securities of the Issuer - </w:t>
      </w:r>
      <w:r w:rsidR="00382829" w:rsidRPr="00382829">
        <w:rPr>
          <w:rFonts w:ascii="Times New Roman" w:hAnsi="Times New Roman" w:cs="Times New Roman"/>
          <w:b/>
          <w:bCs/>
          <w:sz w:val="24"/>
          <w:szCs w:val="24"/>
          <w:lang w:val="en-US"/>
        </w:rPr>
        <w:t xml:space="preserve">Corporate action statement on </w:t>
      </w:r>
      <w:r w:rsidR="00382829" w:rsidRPr="00382829">
        <w:rPr>
          <w:rFonts w:ascii="Times New Roman" w:hAnsi="Times New Roman" w:cs="Times New Roman"/>
          <w:b/>
          <w:sz w:val="24"/>
          <w:szCs w:val="24"/>
          <w:lang w:val="en-US"/>
        </w:rPr>
        <w:t xml:space="preserve">approval of resolution on issue </w:t>
      </w:r>
      <w:r w:rsidR="00382829">
        <w:rPr>
          <w:rFonts w:ascii="Times New Roman" w:hAnsi="Times New Roman" w:cs="Times New Roman"/>
          <w:b/>
          <w:sz w:val="24"/>
          <w:szCs w:val="24"/>
          <w:lang w:val="en-US"/>
        </w:rPr>
        <w:t>(</w:t>
      </w:r>
      <w:r w:rsidR="00382829" w:rsidRPr="00382829">
        <w:rPr>
          <w:rFonts w:ascii="Times New Roman" w:hAnsi="Times New Roman" w:cs="Times New Roman"/>
          <w:b/>
          <w:sz w:val="24"/>
          <w:szCs w:val="24"/>
          <w:lang w:val="en-US"/>
        </w:rPr>
        <w:t>additional issue</w:t>
      </w:r>
      <w:r w:rsidR="0023247B" w:rsidRPr="00382829">
        <w:rPr>
          <w:rFonts w:ascii="Times New Roman" w:hAnsi="Times New Roman" w:cs="Times New Roman"/>
          <w:b/>
          <w:sz w:val="24"/>
          <w:szCs w:val="24"/>
          <w:lang w:val="en-US"/>
        </w:rPr>
        <w:t>) of securities</w:t>
      </w:r>
      <w:r w:rsidR="00382829">
        <w:rPr>
          <w:rFonts w:ascii="Times New Roman" w:hAnsi="Times New Roman" w:cs="Times New Roman"/>
          <w:b/>
          <w:sz w:val="24"/>
          <w:szCs w:val="24"/>
          <w:lang w:val="en-US"/>
        </w:rPr>
        <w:t>/D</w:t>
      </w:r>
      <w:r w:rsidRPr="0023247B">
        <w:rPr>
          <w:rFonts w:ascii="Times New Roman" w:hAnsi="Times New Roman" w:cs="Times New Roman"/>
          <w:b/>
          <w:bCs/>
          <w:sz w:val="24"/>
          <w:szCs w:val="24"/>
          <w:lang w:val="en-US"/>
        </w:rPr>
        <w:t>i</w:t>
      </w:r>
      <w:r w:rsidR="00382829">
        <w:rPr>
          <w:rFonts w:ascii="Times New Roman" w:hAnsi="Times New Roman" w:cs="Times New Roman"/>
          <w:b/>
          <w:bCs/>
          <w:sz w:val="24"/>
          <w:szCs w:val="24"/>
          <w:lang w:val="en-US"/>
        </w:rPr>
        <w:t>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1984"/>
        <w:gridCol w:w="2126"/>
      </w:tblGrid>
      <w:tr w:rsidR="00E2230C" w:rsidRPr="0023247B" w:rsidTr="00E2230C">
        <w:tc>
          <w:tcPr>
            <w:tcW w:w="10206" w:type="dxa"/>
            <w:gridSpan w:val="4"/>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jc w:val="center"/>
              <w:rPr>
                <w:rFonts w:ascii="Times New Roman" w:hAnsi="Times New Roman"/>
                <w:sz w:val="24"/>
                <w:szCs w:val="24"/>
              </w:rPr>
            </w:pPr>
            <w:r w:rsidRPr="0023247B">
              <w:rPr>
                <w:rFonts w:ascii="Times New Roman" w:hAnsi="Times New Roman"/>
                <w:sz w:val="24"/>
                <w:szCs w:val="24"/>
                <w:lang w:val="en-US"/>
              </w:rPr>
              <w:t>General information</w:t>
            </w:r>
          </w:p>
        </w:tc>
      </w:tr>
      <w:tr w:rsidR="00E2230C" w:rsidRPr="00FF75E2" w:rsidTr="00E2230C">
        <w:trPr>
          <w:trHeight w:val="599"/>
        </w:trPr>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rPr>
            </w:pPr>
            <w:proofErr w:type="gramStart"/>
            <w:r w:rsidRPr="0023247B">
              <w:rPr>
                <w:rFonts w:ascii="Times New Roman" w:hAnsi="Times New Roman"/>
                <w:sz w:val="24"/>
                <w:szCs w:val="24"/>
              </w:rPr>
              <w:t xml:space="preserve">1.1  </w:t>
            </w:r>
            <w:r w:rsidRPr="0023247B">
              <w:rPr>
                <w:rFonts w:ascii="Times New Roman" w:hAnsi="Times New Roman"/>
                <w:sz w:val="24"/>
                <w:szCs w:val="24"/>
                <w:lang w:val="en-US"/>
              </w:rPr>
              <w:t>Issuer</w:t>
            </w:r>
            <w:r w:rsidRPr="0023247B">
              <w:rPr>
                <w:rFonts w:ascii="Times New Roman" w:hAnsi="Times New Roman"/>
                <w:sz w:val="24"/>
                <w:szCs w:val="24"/>
              </w:rPr>
              <w:t>’</w:t>
            </w:r>
            <w:r w:rsidRPr="0023247B">
              <w:rPr>
                <w:rFonts w:ascii="Times New Roman" w:hAnsi="Times New Roman"/>
                <w:sz w:val="24"/>
                <w:szCs w:val="24"/>
                <w:lang w:val="en-US"/>
              </w:rPr>
              <w:t>s</w:t>
            </w:r>
            <w:proofErr w:type="gramEnd"/>
            <w:r w:rsidRPr="0023247B">
              <w:rPr>
                <w:rFonts w:ascii="Times New Roman" w:hAnsi="Times New Roman"/>
                <w:sz w:val="24"/>
                <w:szCs w:val="24"/>
                <w:lang w:val="en-US"/>
              </w:rPr>
              <w:t xml:space="preserve"> full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FF75E2">
            <w:pPr>
              <w:pStyle w:val="a4"/>
              <w:rPr>
                <w:rFonts w:ascii="Times New Roman" w:hAnsi="Times New Roman"/>
                <w:sz w:val="24"/>
                <w:szCs w:val="24"/>
                <w:lang w:val="en-US"/>
              </w:rPr>
            </w:pPr>
            <w:r w:rsidRPr="0023247B">
              <w:rPr>
                <w:rFonts w:ascii="Times New Roman" w:hAnsi="Times New Roman"/>
                <w:sz w:val="24"/>
                <w:szCs w:val="24"/>
                <w:lang w:val="en-US"/>
              </w:rPr>
              <w:t>Public joint</w:t>
            </w:r>
            <w:r w:rsidR="00FF75E2" w:rsidRPr="00FF75E2">
              <w:rPr>
                <w:rFonts w:ascii="Times New Roman" w:hAnsi="Times New Roman"/>
                <w:sz w:val="24"/>
                <w:szCs w:val="24"/>
                <w:lang w:val="en-US"/>
              </w:rPr>
              <w:t xml:space="preserve"> </w:t>
            </w:r>
            <w:r w:rsidRPr="0023247B">
              <w:rPr>
                <w:rFonts w:ascii="Times New Roman" w:hAnsi="Times New Roman"/>
                <w:sz w:val="24"/>
                <w:szCs w:val="24"/>
                <w:lang w:val="en-US"/>
              </w:rPr>
              <w:t>stock company of power industry  and electrification of Kuban</w:t>
            </w:r>
          </w:p>
        </w:tc>
      </w:tr>
      <w:tr w:rsidR="00E2230C" w:rsidRPr="0023247B"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rPr>
            </w:pPr>
            <w:r w:rsidRPr="0023247B">
              <w:rPr>
                <w:rFonts w:ascii="Times New Roman" w:hAnsi="Times New Roman"/>
                <w:sz w:val="24"/>
                <w:szCs w:val="24"/>
              </w:rPr>
              <w:t xml:space="preserve">1.2. </w:t>
            </w:r>
            <w:r w:rsidRPr="0023247B">
              <w:rPr>
                <w:rFonts w:ascii="Times New Roman" w:hAnsi="Times New Roman"/>
                <w:sz w:val="24"/>
                <w:szCs w:val="24"/>
                <w:lang w:val="en-US"/>
              </w:rPr>
              <w:t>Issuer</w:t>
            </w:r>
            <w:r w:rsidRPr="0023247B">
              <w:rPr>
                <w:rFonts w:ascii="Times New Roman" w:hAnsi="Times New Roman"/>
                <w:sz w:val="24"/>
                <w:szCs w:val="24"/>
              </w:rPr>
              <w:t>’</w:t>
            </w:r>
            <w:r w:rsidRPr="0023247B">
              <w:rPr>
                <w:rFonts w:ascii="Times New Roman" w:hAnsi="Times New Roman"/>
                <w:sz w:val="24"/>
                <w:szCs w:val="24"/>
                <w:lang w:val="en-US"/>
              </w:rPr>
              <w:t>s short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rPr>
            </w:pPr>
            <w:r w:rsidRPr="0023247B">
              <w:rPr>
                <w:rFonts w:ascii="Times New Roman" w:hAnsi="Times New Roman"/>
                <w:sz w:val="24"/>
                <w:szCs w:val="24"/>
                <w:lang w:val="en-US"/>
              </w:rPr>
              <w:t>“Kubanenergo” PJSC</w:t>
            </w:r>
          </w:p>
        </w:tc>
      </w:tr>
      <w:tr w:rsidR="00E2230C" w:rsidRPr="0023247B"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rPr>
              <w:t xml:space="preserve">1.3. </w:t>
            </w:r>
            <w:r w:rsidRPr="0023247B">
              <w:rPr>
                <w:rFonts w:ascii="Times New Roman" w:hAnsi="Times New Roman"/>
                <w:sz w:val="24"/>
                <w:szCs w:val="24"/>
                <w:lang w:val="en-US"/>
              </w:rPr>
              <w:t>Issuer’s location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rPr>
                <w:sz w:val="24"/>
                <w:szCs w:val="24"/>
                <w:lang w:val="en-US" w:eastAsia="en-US"/>
              </w:rPr>
            </w:pPr>
            <w:r w:rsidRPr="0023247B">
              <w:rPr>
                <w:sz w:val="24"/>
                <w:szCs w:val="24"/>
                <w:lang w:val="en-US" w:eastAsia="en-US"/>
              </w:rPr>
              <w:t>Krasnodar, Russian Federation, 350033</w:t>
            </w:r>
          </w:p>
        </w:tc>
      </w:tr>
      <w:tr w:rsidR="00E2230C" w:rsidRPr="0023247B"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rPr>
              <w:t xml:space="preserve">1.4. </w:t>
            </w:r>
            <w:r w:rsidRPr="0023247B">
              <w:rPr>
                <w:rFonts w:ascii="Times New Roman" w:hAnsi="Times New Roman"/>
                <w:sz w:val="24"/>
                <w:szCs w:val="24"/>
                <w:lang w:val="en-US"/>
              </w:rPr>
              <w:t>Issuer’s PSRN</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rPr>
            </w:pPr>
            <w:r w:rsidRPr="0023247B">
              <w:rPr>
                <w:rFonts w:ascii="Times New Roman" w:hAnsi="Times New Roman"/>
                <w:sz w:val="24"/>
                <w:szCs w:val="24"/>
              </w:rPr>
              <w:t>1022301427268</w:t>
            </w:r>
          </w:p>
        </w:tc>
      </w:tr>
      <w:tr w:rsidR="00E2230C" w:rsidRPr="0023247B"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rPr>
              <w:t xml:space="preserve">1.5. </w:t>
            </w:r>
            <w:r w:rsidRPr="0023247B">
              <w:rPr>
                <w:rFonts w:ascii="Times New Roman" w:hAnsi="Times New Roman"/>
                <w:sz w:val="24"/>
                <w:szCs w:val="24"/>
                <w:lang w:val="en-US"/>
              </w:rPr>
              <w:t>Issuer’s TIN</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rPr>
            </w:pPr>
            <w:r w:rsidRPr="0023247B">
              <w:rPr>
                <w:rFonts w:ascii="Times New Roman" w:hAnsi="Times New Roman"/>
                <w:sz w:val="24"/>
                <w:szCs w:val="24"/>
              </w:rPr>
              <w:t>2309001660</w:t>
            </w:r>
          </w:p>
        </w:tc>
      </w:tr>
      <w:tr w:rsidR="00E2230C" w:rsidRPr="0023247B"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lang w:val="en-US"/>
              </w:rPr>
              <w:t>1.6. Issuer’s unique code assigned by registering authority</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rPr>
              <w:t>00063-</w:t>
            </w:r>
            <w:r w:rsidRPr="0023247B">
              <w:rPr>
                <w:rFonts w:ascii="Times New Roman" w:hAnsi="Times New Roman"/>
                <w:sz w:val="24"/>
                <w:szCs w:val="24"/>
                <w:lang w:val="en-US"/>
              </w:rPr>
              <w:t>A</w:t>
            </w:r>
          </w:p>
        </w:tc>
      </w:tr>
      <w:tr w:rsidR="00E2230C" w:rsidRPr="00FF75E2" w:rsidTr="00E2230C">
        <w:tc>
          <w:tcPr>
            <w:tcW w:w="3828" w:type="dxa"/>
            <w:tcBorders>
              <w:top w:val="single" w:sz="4" w:space="0" w:color="auto"/>
              <w:left w:val="single" w:sz="4" w:space="0" w:color="auto"/>
              <w:bottom w:val="single" w:sz="4" w:space="0" w:color="auto"/>
              <w:right w:val="single" w:sz="4" w:space="0" w:color="auto"/>
            </w:tcBorders>
            <w:hideMark/>
          </w:tcPr>
          <w:p w:rsidR="00E2230C" w:rsidRPr="0023247B" w:rsidRDefault="00E2230C" w:rsidP="0023247B">
            <w:pPr>
              <w:pStyle w:val="a4"/>
              <w:rPr>
                <w:rFonts w:ascii="Times New Roman" w:hAnsi="Times New Roman"/>
                <w:sz w:val="24"/>
                <w:szCs w:val="24"/>
                <w:lang w:val="en-US"/>
              </w:rPr>
            </w:pPr>
            <w:r w:rsidRPr="0023247B">
              <w:rPr>
                <w:rFonts w:ascii="Times New Roman" w:hAnsi="Times New Roman"/>
                <w:sz w:val="24"/>
                <w:szCs w:val="24"/>
                <w:lang w:val="en-US"/>
              </w:rPr>
              <w:t>1.7. Web-page for disclosure of information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E2230C" w:rsidRPr="00FF75E2" w:rsidRDefault="00E2230C" w:rsidP="0023247B">
            <w:pPr>
              <w:rPr>
                <w:rStyle w:val="a3"/>
                <w:color w:val="auto"/>
                <w:sz w:val="24"/>
                <w:szCs w:val="24"/>
                <w:lang w:val="en-US" w:eastAsia="en-US"/>
              </w:rPr>
            </w:pPr>
            <w:r w:rsidRPr="0023247B">
              <w:rPr>
                <w:sz w:val="24"/>
                <w:szCs w:val="24"/>
                <w:lang w:val="en-US" w:eastAsia="en-US"/>
              </w:rPr>
              <w:t>http://</w:t>
            </w:r>
            <w:hyperlink r:id="rId4" w:history="1">
              <w:r w:rsidRPr="0023247B">
                <w:rPr>
                  <w:rStyle w:val="a3"/>
                  <w:color w:val="auto"/>
                  <w:sz w:val="24"/>
                  <w:szCs w:val="24"/>
                  <w:lang w:val="en-US" w:eastAsia="en-US"/>
                </w:rPr>
                <w:t>www.kubanenergo.ru</w:t>
              </w:r>
            </w:hyperlink>
            <w:r w:rsidR="00FF75E2">
              <w:rPr>
                <w:rStyle w:val="a3"/>
                <w:color w:val="auto"/>
                <w:sz w:val="24"/>
                <w:szCs w:val="24"/>
                <w:lang w:eastAsia="en-US"/>
              </w:rPr>
              <w:t xml:space="preserve"> </w:t>
            </w:r>
          </w:p>
          <w:p w:rsidR="00E2230C" w:rsidRPr="0023247B" w:rsidRDefault="00FF75E2" w:rsidP="0023247B">
            <w:pPr>
              <w:pStyle w:val="a4"/>
              <w:rPr>
                <w:rFonts w:ascii="Times New Roman" w:hAnsi="Times New Roman"/>
                <w:sz w:val="24"/>
                <w:szCs w:val="24"/>
                <w:lang w:val="en-US"/>
              </w:rPr>
            </w:pPr>
            <w:hyperlink r:id="rId5" w:history="1">
              <w:r w:rsidR="00E2230C" w:rsidRPr="0023247B">
                <w:rPr>
                  <w:rStyle w:val="a3"/>
                  <w:rFonts w:ascii="Times New Roman" w:hAnsi="Times New Roman"/>
                  <w:sz w:val="24"/>
                  <w:szCs w:val="24"/>
                  <w:lang w:val="en-US"/>
                </w:rPr>
                <w:t>http://www.e-disclosure.ru/portal/company.aspx?id=2827</w:t>
              </w:r>
            </w:hyperlink>
          </w:p>
        </w:tc>
      </w:tr>
      <w:tr w:rsidR="00E2230C" w:rsidRPr="0023247B" w:rsidTr="00E2230C">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2230C" w:rsidRPr="0023247B" w:rsidRDefault="00E2230C" w:rsidP="0023247B">
            <w:pPr>
              <w:jc w:val="center"/>
              <w:rPr>
                <w:b/>
                <w:bCs/>
                <w:sz w:val="24"/>
                <w:szCs w:val="24"/>
                <w:lang w:val="en-US" w:eastAsia="en-US"/>
              </w:rPr>
            </w:pPr>
            <w:r w:rsidRPr="0023247B">
              <w:rPr>
                <w:sz w:val="24"/>
                <w:szCs w:val="24"/>
                <w:lang w:val="en-US" w:eastAsia="en-US"/>
              </w:rPr>
              <w:t>2. Statement content</w:t>
            </w:r>
          </w:p>
        </w:tc>
      </w:tr>
      <w:tr w:rsidR="00E2230C" w:rsidRPr="00FF75E2" w:rsidTr="00E2230C">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2230C" w:rsidRPr="0023247B" w:rsidRDefault="00E2230C" w:rsidP="0023247B">
            <w:pPr>
              <w:jc w:val="both"/>
              <w:rPr>
                <w:sz w:val="24"/>
                <w:szCs w:val="24"/>
                <w:lang w:val="en-US" w:eastAsia="en-US"/>
              </w:rPr>
            </w:pPr>
            <w:r w:rsidRPr="0023247B">
              <w:rPr>
                <w:sz w:val="24"/>
                <w:szCs w:val="24"/>
                <w:lang w:val="en-US" w:eastAsia="en-US"/>
              </w:rPr>
              <w:t xml:space="preserve">2.1. The issuer's management body that approved the decision on issue (additional issue) of securities and the method of decision-making (type of general meeting should be specified: annual or extraordinary) if the issuer's management body that made the decision on approval of the issue (additional issue) of securities  is the general meeting of participants (shareholders) of the issuer, as well as the form of voting (joint presence and / or absentee voting): </w:t>
            </w:r>
            <w:r w:rsidRPr="0023247B">
              <w:rPr>
                <w:b/>
                <w:sz w:val="24"/>
                <w:szCs w:val="24"/>
                <w:lang w:val="en-US" w:eastAsia="en-US"/>
              </w:rPr>
              <w:t>the Board of Directors of “Kubanenergo” PJSC, absentee voting.</w:t>
            </w:r>
          </w:p>
          <w:p w:rsidR="00E2230C" w:rsidRPr="0023247B" w:rsidRDefault="00E2230C" w:rsidP="0023247B">
            <w:pPr>
              <w:jc w:val="both"/>
              <w:rPr>
                <w:b/>
                <w:sz w:val="24"/>
                <w:szCs w:val="24"/>
                <w:lang w:val="en-US" w:eastAsia="en-US"/>
              </w:rPr>
            </w:pPr>
            <w:r w:rsidRPr="0023247B">
              <w:rPr>
                <w:sz w:val="24"/>
                <w:szCs w:val="24"/>
                <w:lang w:val="en-US" w:eastAsia="en-US"/>
              </w:rPr>
              <w:t xml:space="preserve">2.2. Date and place of holding the meeting (session) of the authorized body of the issuer that adopted the resolution on approval of </w:t>
            </w:r>
            <w:r w:rsidR="0051551F" w:rsidRPr="0023247B">
              <w:rPr>
                <w:sz w:val="24"/>
                <w:szCs w:val="24"/>
                <w:lang w:val="en-US" w:eastAsia="en-US"/>
              </w:rPr>
              <w:t xml:space="preserve">the issue (additional issue) of securities: </w:t>
            </w:r>
            <w:r w:rsidR="0051551F" w:rsidRPr="0023247B">
              <w:rPr>
                <w:b/>
                <w:sz w:val="24"/>
                <w:szCs w:val="24"/>
                <w:lang w:val="en-US" w:eastAsia="en-US"/>
              </w:rPr>
              <w:t>28 November 2016</w:t>
            </w:r>
            <w:r w:rsidR="0051551F" w:rsidRPr="0023247B">
              <w:rPr>
                <w:sz w:val="24"/>
                <w:szCs w:val="24"/>
                <w:lang w:val="en-US" w:eastAsia="en-US"/>
              </w:rPr>
              <w:t xml:space="preserve">; place of the counting the voting results: </w:t>
            </w:r>
            <w:r w:rsidR="0051551F" w:rsidRPr="0023247B">
              <w:rPr>
                <w:b/>
                <w:sz w:val="24"/>
                <w:szCs w:val="24"/>
                <w:lang w:val="en-US" w:eastAsia="en-US"/>
              </w:rPr>
              <w:t xml:space="preserve">office 105, building 1, </w:t>
            </w:r>
            <w:proofErr w:type="gramStart"/>
            <w:r w:rsidR="0051551F" w:rsidRPr="0023247B">
              <w:rPr>
                <w:b/>
                <w:sz w:val="24"/>
                <w:szCs w:val="24"/>
                <w:lang w:val="en-US" w:eastAsia="en-US"/>
              </w:rPr>
              <w:t xml:space="preserve">2A  </w:t>
            </w:r>
            <w:proofErr w:type="spellStart"/>
            <w:r w:rsidR="0051551F" w:rsidRPr="0023247B">
              <w:rPr>
                <w:b/>
                <w:sz w:val="24"/>
                <w:szCs w:val="24"/>
                <w:lang w:val="en-US" w:eastAsia="en-US"/>
              </w:rPr>
              <w:t>Stavropolskaya</w:t>
            </w:r>
            <w:proofErr w:type="spellEnd"/>
            <w:proofErr w:type="gramEnd"/>
            <w:r w:rsidR="0051551F" w:rsidRPr="0023247B">
              <w:rPr>
                <w:b/>
                <w:sz w:val="24"/>
                <w:szCs w:val="24"/>
                <w:lang w:val="en-US" w:eastAsia="en-US"/>
              </w:rPr>
              <w:t xml:space="preserve">  St.,  Krasnodar (postal address of </w:t>
            </w:r>
            <w:r w:rsidR="00FF75E2">
              <w:rPr>
                <w:b/>
                <w:sz w:val="24"/>
                <w:szCs w:val="24"/>
                <w:lang w:val="en-US" w:eastAsia="en-US"/>
              </w:rPr>
              <w:t>the</w:t>
            </w:r>
            <w:r w:rsidR="00FF75E2" w:rsidRPr="00FF75E2">
              <w:rPr>
                <w:b/>
                <w:sz w:val="24"/>
                <w:szCs w:val="24"/>
                <w:lang w:val="en-US" w:eastAsia="en-US"/>
              </w:rPr>
              <w:t xml:space="preserve"> </w:t>
            </w:r>
            <w:r w:rsidR="0051551F" w:rsidRPr="0023247B">
              <w:rPr>
                <w:b/>
                <w:sz w:val="24"/>
                <w:szCs w:val="24"/>
                <w:lang w:val="en-US" w:eastAsia="en-US"/>
              </w:rPr>
              <w:t>Corporate Secretary of “Kubanenergo” PJSC).</w:t>
            </w:r>
          </w:p>
          <w:p w:rsidR="0051551F" w:rsidRPr="0023247B" w:rsidRDefault="0051551F" w:rsidP="0023247B">
            <w:pPr>
              <w:jc w:val="both"/>
              <w:rPr>
                <w:b/>
                <w:sz w:val="24"/>
                <w:szCs w:val="24"/>
                <w:lang w:val="en-US" w:eastAsia="en-US"/>
              </w:rPr>
            </w:pPr>
            <w:r w:rsidRPr="0023247B">
              <w:rPr>
                <w:sz w:val="24"/>
                <w:szCs w:val="24"/>
                <w:lang w:val="en-US" w:eastAsia="en-US"/>
              </w:rPr>
              <w:t xml:space="preserve">2.3. </w:t>
            </w:r>
            <w:r w:rsidRPr="0023247B">
              <w:rPr>
                <w:sz w:val="24"/>
                <w:szCs w:val="24"/>
                <w:lang w:val="en-US"/>
              </w:rPr>
              <w:t xml:space="preserve">Date  of  preparing  and  number  of  munities  of  meeting  of </w:t>
            </w:r>
            <w:r w:rsidRPr="0023247B">
              <w:rPr>
                <w:sz w:val="24"/>
                <w:szCs w:val="24"/>
                <w:lang w:val="en-US" w:eastAsia="en-US"/>
              </w:rPr>
              <w:t xml:space="preserve">the authorized body of the issuer that adopted the resolution on approval of the issue (additional issue) of securities: </w:t>
            </w:r>
            <w:r w:rsidRPr="0023247B">
              <w:rPr>
                <w:b/>
                <w:sz w:val="24"/>
                <w:szCs w:val="24"/>
                <w:lang w:val="en-US" w:eastAsia="en-US"/>
              </w:rPr>
              <w:t>30 November 2016, Minutes of meeting No.255/2016</w:t>
            </w:r>
          </w:p>
          <w:p w:rsidR="0051551F" w:rsidRPr="0023247B" w:rsidRDefault="0051551F" w:rsidP="0023247B">
            <w:pPr>
              <w:jc w:val="both"/>
              <w:rPr>
                <w:sz w:val="24"/>
                <w:szCs w:val="24"/>
                <w:lang w:val="en-US" w:eastAsia="en-US"/>
              </w:rPr>
            </w:pPr>
            <w:r w:rsidRPr="0023247B">
              <w:rPr>
                <w:sz w:val="24"/>
                <w:szCs w:val="24"/>
                <w:lang w:val="en-US" w:eastAsia="en-US"/>
              </w:rPr>
              <w:t xml:space="preserve">2.4. </w:t>
            </w:r>
            <w:r w:rsidR="00BB786E" w:rsidRPr="0023247B">
              <w:rPr>
                <w:sz w:val="24"/>
                <w:szCs w:val="24"/>
                <w:lang w:val="en-US" w:eastAsia="en-US"/>
              </w:rPr>
              <w:t>Quorum and results of voting on proposal to approve the issue (</w:t>
            </w:r>
            <w:r w:rsidR="00B92A76" w:rsidRPr="0023247B">
              <w:rPr>
                <w:sz w:val="24"/>
                <w:szCs w:val="24"/>
                <w:lang w:val="en-US" w:eastAsia="en-US"/>
              </w:rPr>
              <w:t>additional issue) of securities:</w:t>
            </w:r>
          </w:p>
          <w:p w:rsidR="00B92A76" w:rsidRPr="0023247B" w:rsidRDefault="00B92A76" w:rsidP="0023247B">
            <w:pPr>
              <w:jc w:val="both"/>
              <w:rPr>
                <w:b/>
                <w:sz w:val="24"/>
                <w:szCs w:val="24"/>
                <w:lang w:val="en-US" w:eastAsia="en-US"/>
              </w:rPr>
            </w:pPr>
            <w:r w:rsidRPr="0023247B">
              <w:rPr>
                <w:b/>
                <w:sz w:val="24"/>
                <w:szCs w:val="24"/>
                <w:lang w:val="en-US" w:eastAsia="en-US"/>
              </w:rPr>
              <w:t>Board of Directors members present the meeting: 11</w:t>
            </w:r>
          </w:p>
          <w:p w:rsidR="00B92A76" w:rsidRPr="0023247B" w:rsidRDefault="00B92A76" w:rsidP="0023247B">
            <w:pPr>
              <w:jc w:val="both"/>
              <w:rPr>
                <w:b/>
                <w:sz w:val="24"/>
                <w:szCs w:val="24"/>
                <w:lang w:val="en-US"/>
              </w:rPr>
            </w:pPr>
            <w:r w:rsidRPr="0023247B">
              <w:rPr>
                <w:b/>
                <w:sz w:val="24"/>
                <w:szCs w:val="24"/>
                <w:lang w:val="en-US"/>
              </w:rPr>
              <w:t xml:space="preserve">Questionnaires were submitted </w:t>
            </w:r>
            <w:proofErr w:type="gramStart"/>
            <w:r w:rsidRPr="0023247B">
              <w:rPr>
                <w:b/>
                <w:sz w:val="24"/>
                <w:szCs w:val="24"/>
                <w:lang w:val="en-US"/>
              </w:rPr>
              <w:t>by:</w:t>
            </w:r>
            <w:proofErr w:type="gramEnd"/>
            <w:r w:rsidRPr="0023247B">
              <w:rPr>
                <w:b/>
                <w:sz w:val="24"/>
                <w:szCs w:val="24"/>
                <w:lang w:val="en-US"/>
              </w:rPr>
              <w:t xml:space="preserve"> </w:t>
            </w:r>
            <w:proofErr w:type="spellStart"/>
            <w:r w:rsidRPr="0023247B">
              <w:rPr>
                <w:b/>
                <w:sz w:val="24"/>
                <w:szCs w:val="24"/>
                <w:lang w:val="en-US"/>
              </w:rPr>
              <w:t>Mangarov</w:t>
            </w:r>
            <w:proofErr w:type="spellEnd"/>
            <w:r w:rsidRPr="0023247B">
              <w:rPr>
                <w:b/>
                <w:sz w:val="24"/>
                <w:szCs w:val="24"/>
                <w:lang w:val="en-US"/>
              </w:rPr>
              <w:t xml:space="preserve"> </w:t>
            </w:r>
            <w:proofErr w:type="spellStart"/>
            <w:r w:rsidRPr="0023247B">
              <w:rPr>
                <w:b/>
                <w:sz w:val="24"/>
                <w:szCs w:val="24"/>
                <w:lang w:val="en-US"/>
              </w:rPr>
              <w:t>Yu.N</w:t>
            </w:r>
            <w:proofErr w:type="spellEnd"/>
            <w:r w:rsidRPr="0023247B">
              <w:rPr>
                <w:b/>
                <w:sz w:val="24"/>
                <w:szCs w:val="24"/>
                <w:lang w:val="en-US"/>
              </w:rPr>
              <w:t xml:space="preserve">. (Chairperson of the BoD), </w:t>
            </w:r>
            <w:proofErr w:type="spellStart"/>
            <w:r w:rsidRPr="0023247B">
              <w:rPr>
                <w:b/>
                <w:sz w:val="24"/>
                <w:szCs w:val="24"/>
                <w:lang w:val="en-US"/>
              </w:rPr>
              <w:t>Bobkov</w:t>
            </w:r>
            <w:proofErr w:type="spellEnd"/>
            <w:r w:rsidRPr="0023247B">
              <w:rPr>
                <w:b/>
                <w:sz w:val="24"/>
                <w:szCs w:val="24"/>
                <w:lang w:val="en-US"/>
              </w:rPr>
              <w:t xml:space="preserve"> D.A., </w:t>
            </w:r>
            <w:proofErr w:type="spellStart"/>
            <w:r w:rsidRPr="0023247B">
              <w:rPr>
                <w:b/>
                <w:sz w:val="24"/>
                <w:szCs w:val="24"/>
                <w:lang w:val="en-US"/>
              </w:rPr>
              <w:t>Varvarin</w:t>
            </w:r>
            <w:proofErr w:type="spellEnd"/>
            <w:r w:rsidRPr="0023247B">
              <w:rPr>
                <w:b/>
                <w:sz w:val="24"/>
                <w:szCs w:val="24"/>
                <w:lang w:val="en-US"/>
              </w:rPr>
              <w:t xml:space="preserve"> A.V., </w:t>
            </w:r>
            <w:proofErr w:type="spellStart"/>
            <w:r w:rsidRPr="0023247B">
              <w:rPr>
                <w:b/>
                <w:sz w:val="24"/>
                <w:szCs w:val="24"/>
                <w:lang w:val="en-US"/>
              </w:rPr>
              <w:t>Yefimov</w:t>
            </w:r>
            <w:proofErr w:type="spellEnd"/>
            <w:r w:rsidRPr="0023247B">
              <w:rPr>
                <w:b/>
                <w:sz w:val="24"/>
                <w:szCs w:val="24"/>
                <w:lang w:val="en-US"/>
              </w:rPr>
              <w:t xml:space="preserve"> A.L., </w:t>
            </w:r>
            <w:proofErr w:type="spellStart"/>
            <w:r w:rsidRPr="0023247B">
              <w:rPr>
                <w:b/>
                <w:sz w:val="24"/>
                <w:szCs w:val="24"/>
                <w:lang w:val="en-US"/>
              </w:rPr>
              <w:t>Khokholkova</w:t>
            </w:r>
            <w:proofErr w:type="spellEnd"/>
            <w:r w:rsidRPr="0023247B">
              <w:rPr>
                <w:b/>
                <w:sz w:val="24"/>
                <w:szCs w:val="24"/>
                <w:lang w:val="en-US"/>
              </w:rPr>
              <w:t xml:space="preserve"> K.V., </w:t>
            </w:r>
            <w:proofErr w:type="spellStart"/>
            <w:r w:rsidRPr="0023247B">
              <w:rPr>
                <w:b/>
                <w:sz w:val="24"/>
                <w:szCs w:val="24"/>
                <w:lang w:val="en-US"/>
              </w:rPr>
              <w:t>Bogashov</w:t>
            </w:r>
            <w:proofErr w:type="spellEnd"/>
            <w:r w:rsidRPr="0023247B">
              <w:rPr>
                <w:b/>
                <w:sz w:val="24"/>
                <w:szCs w:val="24"/>
                <w:lang w:val="en-US"/>
              </w:rPr>
              <w:t xml:space="preserve"> </w:t>
            </w:r>
            <w:proofErr w:type="spellStart"/>
            <w:r w:rsidRPr="0023247B">
              <w:rPr>
                <w:b/>
                <w:sz w:val="24"/>
                <w:szCs w:val="24"/>
                <w:lang w:val="en-US"/>
              </w:rPr>
              <w:t>A.Ye</w:t>
            </w:r>
            <w:proofErr w:type="spellEnd"/>
            <w:r w:rsidRPr="0023247B">
              <w:rPr>
                <w:b/>
                <w:sz w:val="24"/>
                <w:szCs w:val="24"/>
                <w:lang w:val="en-US"/>
              </w:rPr>
              <w:t xml:space="preserve">., </w:t>
            </w:r>
            <w:proofErr w:type="spellStart"/>
            <w:r w:rsidRPr="0023247B">
              <w:rPr>
                <w:b/>
                <w:sz w:val="24"/>
                <w:szCs w:val="24"/>
                <w:lang w:val="en-US"/>
              </w:rPr>
              <w:t>Gavrilov</w:t>
            </w:r>
            <w:proofErr w:type="spellEnd"/>
            <w:r w:rsidRPr="0023247B">
              <w:rPr>
                <w:b/>
                <w:sz w:val="24"/>
                <w:szCs w:val="24"/>
                <w:lang w:val="en-US"/>
              </w:rPr>
              <w:t xml:space="preserve"> A.I. </w:t>
            </w:r>
            <w:proofErr w:type="spellStart"/>
            <w:r w:rsidRPr="0023247B">
              <w:rPr>
                <w:b/>
                <w:sz w:val="24"/>
                <w:szCs w:val="24"/>
                <w:lang w:val="en-US"/>
              </w:rPr>
              <w:t>Sofyin</w:t>
            </w:r>
            <w:proofErr w:type="spellEnd"/>
            <w:r w:rsidRPr="0023247B">
              <w:rPr>
                <w:b/>
                <w:sz w:val="24"/>
                <w:szCs w:val="24"/>
                <w:lang w:val="en-US"/>
              </w:rPr>
              <w:t xml:space="preserve"> </w:t>
            </w:r>
            <w:proofErr w:type="spellStart"/>
            <w:r w:rsidRPr="0023247B">
              <w:rPr>
                <w:b/>
                <w:sz w:val="24"/>
                <w:szCs w:val="24"/>
                <w:lang w:val="en-US"/>
              </w:rPr>
              <w:t>V.V.Gritsenko</w:t>
            </w:r>
            <w:proofErr w:type="spellEnd"/>
            <w:r w:rsidRPr="0023247B">
              <w:rPr>
                <w:b/>
                <w:sz w:val="24"/>
                <w:szCs w:val="24"/>
                <w:lang w:val="en-US"/>
              </w:rPr>
              <w:t xml:space="preserve"> V.F., </w:t>
            </w:r>
            <w:proofErr w:type="spellStart"/>
            <w:r w:rsidRPr="0023247B">
              <w:rPr>
                <w:b/>
                <w:sz w:val="24"/>
                <w:szCs w:val="24"/>
                <w:lang w:val="en-US"/>
              </w:rPr>
              <w:t>Serov</w:t>
            </w:r>
            <w:proofErr w:type="spellEnd"/>
            <w:r w:rsidRPr="0023247B">
              <w:rPr>
                <w:b/>
                <w:sz w:val="24"/>
                <w:szCs w:val="24"/>
                <w:lang w:val="en-US"/>
              </w:rPr>
              <w:t xml:space="preserve"> </w:t>
            </w:r>
            <w:proofErr w:type="spellStart"/>
            <w:r w:rsidRPr="0023247B">
              <w:rPr>
                <w:b/>
                <w:sz w:val="24"/>
                <w:szCs w:val="24"/>
                <w:lang w:val="en-US"/>
              </w:rPr>
              <w:t>A.Yu</w:t>
            </w:r>
            <w:proofErr w:type="spellEnd"/>
            <w:r w:rsidRPr="0023247B">
              <w:rPr>
                <w:b/>
                <w:sz w:val="24"/>
                <w:szCs w:val="24"/>
                <w:lang w:val="en-US"/>
              </w:rPr>
              <w:t xml:space="preserve">., </w:t>
            </w:r>
            <w:proofErr w:type="spellStart"/>
            <w:r w:rsidRPr="0023247B">
              <w:rPr>
                <w:b/>
                <w:sz w:val="24"/>
                <w:szCs w:val="24"/>
                <w:lang w:val="en-US"/>
              </w:rPr>
              <w:t>Shmakov</w:t>
            </w:r>
            <w:proofErr w:type="spellEnd"/>
            <w:r w:rsidRPr="0023247B">
              <w:rPr>
                <w:b/>
                <w:sz w:val="24"/>
                <w:szCs w:val="24"/>
                <w:lang w:val="en-US"/>
              </w:rPr>
              <w:t xml:space="preserve"> I.V. </w:t>
            </w:r>
          </w:p>
          <w:p w:rsidR="00B92A76" w:rsidRPr="0023247B" w:rsidRDefault="00B92A76" w:rsidP="0023247B">
            <w:pPr>
              <w:jc w:val="both"/>
              <w:rPr>
                <w:b/>
                <w:sz w:val="24"/>
                <w:szCs w:val="24"/>
                <w:lang w:val="en-US"/>
              </w:rPr>
            </w:pPr>
            <w:r w:rsidRPr="0023247B">
              <w:rPr>
                <w:b/>
                <w:sz w:val="24"/>
                <w:szCs w:val="24"/>
                <w:lang w:val="en-US"/>
              </w:rPr>
              <w:t>Questionnaires were not submitted by: non</w:t>
            </w:r>
          </w:p>
          <w:p w:rsidR="00B92A76" w:rsidRPr="0023247B" w:rsidRDefault="00B92A76" w:rsidP="0023247B">
            <w:pPr>
              <w:rPr>
                <w:b/>
                <w:sz w:val="24"/>
                <w:szCs w:val="24"/>
                <w:lang w:val="en-US"/>
              </w:rPr>
            </w:pPr>
            <w:r w:rsidRPr="0023247B">
              <w:rPr>
                <w:b/>
                <w:sz w:val="24"/>
                <w:szCs w:val="24"/>
                <w:lang w:val="en-US"/>
              </w:rPr>
              <w:t>Quorum is present</w:t>
            </w:r>
          </w:p>
          <w:p w:rsidR="00B92A76" w:rsidRPr="0023247B" w:rsidRDefault="00B92A76" w:rsidP="0023247B">
            <w:pPr>
              <w:pStyle w:val="a4"/>
              <w:jc w:val="both"/>
              <w:rPr>
                <w:rFonts w:ascii="Times New Roman" w:hAnsi="Times New Roman"/>
                <w:b/>
                <w:sz w:val="24"/>
                <w:szCs w:val="24"/>
                <w:lang w:val="en-US"/>
              </w:rPr>
            </w:pPr>
            <w:r w:rsidRPr="0023247B">
              <w:rPr>
                <w:rFonts w:ascii="Times New Roman" w:hAnsi="Times New Roman"/>
                <w:b/>
                <w:sz w:val="24"/>
                <w:szCs w:val="24"/>
                <w:lang w:val="en-US"/>
              </w:rPr>
              <w:t>Voting results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23"/>
              <w:gridCol w:w="993"/>
              <w:gridCol w:w="2268"/>
              <w:gridCol w:w="567"/>
              <w:gridCol w:w="1559"/>
            </w:tblGrid>
            <w:tr w:rsidR="00B92A76" w:rsidRPr="00FF75E2" w:rsidTr="0023450E">
              <w:tc>
                <w:tcPr>
                  <w:tcW w:w="2376" w:type="dxa"/>
                  <w:hideMark/>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Bobkov</w:t>
                  </w:r>
                  <w:proofErr w:type="spellEnd"/>
                  <w:r w:rsidRPr="0023247B">
                    <w:rPr>
                      <w:b/>
                      <w:sz w:val="24"/>
                      <w:szCs w:val="24"/>
                      <w:lang w:val="en-US" w:eastAsia="en-US"/>
                    </w:rPr>
                    <w:t xml:space="preserve"> D.A.</w:t>
                  </w:r>
                </w:p>
              </w:tc>
              <w:tc>
                <w:tcPr>
                  <w:tcW w:w="426" w:type="dxa"/>
                  <w:hideMark/>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w:t>
                  </w:r>
                </w:p>
              </w:tc>
              <w:tc>
                <w:tcPr>
                  <w:tcW w:w="708" w:type="dxa"/>
                  <w:hideMark/>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hideMark/>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Mangarov</w:t>
                  </w:r>
                  <w:proofErr w:type="spellEnd"/>
                  <w:r w:rsidRPr="0023247B">
                    <w:rPr>
                      <w:b/>
                      <w:sz w:val="24"/>
                      <w:szCs w:val="24"/>
                      <w:lang w:val="en-US" w:eastAsia="en-US"/>
                    </w:rPr>
                    <w:t xml:space="preserve"> </w:t>
                  </w:r>
                  <w:proofErr w:type="spellStart"/>
                  <w:r w:rsidRPr="0023247B">
                    <w:rPr>
                      <w:b/>
                      <w:sz w:val="24"/>
                      <w:szCs w:val="24"/>
                      <w:lang w:val="en-US" w:eastAsia="en-US"/>
                    </w:rPr>
                    <w:t>Yu.N</w:t>
                  </w:r>
                  <w:proofErr w:type="spellEnd"/>
                  <w:r w:rsidRPr="0023247B">
                    <w:rPr>
                      <w:b/>
                      <w:sz w:val="24"/>
                      <w:szCs w:val="24"/>
                      <w:lang w:val="en-US" w:eastAsia="en-US"/>
                    </w:rPr>
                    <w:t>.</w:t>
                  </w:r>
                </w:p>
              </w:tc>
              <w:tc>
                <w:tcPr>
                  <w:tcW w:w="567" w:type="dxa"/>
                  <w:hideMark/>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w:t>
                  </w:r>
                </w:p>
              </w:tc>
              <w:tc>
                <w:tcPr>
                  <w:tcW w:w="1559" w:type="dxa"/>
                  <w:hideMark/>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FOR</w:t>
                  </w:r>
                </w:p>
              </w:tc>
            </w:tr>
            <w:tr w:rsidR="00B92A76" w:rsidRPr="00FF75E2" w:rsidTr="0023450E">
              <w:tc>
                <w:tcPr>
                  <w:tcW w:w="2376"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Bogashov</w:t>
                  </w:r>
                  <w:proofErr w:type="spellEnd"/>
                  <w:r w:rsidRPr="0023247B">
                    <w:rPr>
                      <w:b/>
                      <w:sz w:val="24"/>
                      <w:szCs w:val="24"/>
                      <w:lang w:val="en-US" w:eastAsia="en-US"/>
                    </w:rPr>
                    <w:t xml:space="preserve"> </w:t>
                  </w:r>
                  <w:proofErr w:type="spellStart"/>
                  <w:r w:rsidRPr="0023247B">
                    <w:rPr>
                      <w:b/>
                      <w:sz w:val="24"/>
                      <w:szCs w:val="24"/>
                      <w:lang w:val="en-US" w:eastAsia="en-US"/>
                    </w:rPr>
                    <w:t>A.Ye</w:t>
                  </w:r>
                  <w:proofErr w:type="spellEnd"/>
                  <w:r w:rsidRPr="0023247B">
                    <w:rPr>
                      <w:b/>
                      <w:sz w:val="24"/>
                      <w:szCs w:val="24"/>
                      <w:lang w:val="en-US" w:eastAsia="en-US"/>
                    </w:rPr>
                    <w:t>.</w:t>
                  </w:r>
                </w:p>
              </w:tc>
              <w:tc>
                <w:tcPr>
                  <w:tcW w:w="426" w:type="dxa"/>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w:t>
                  </w:r>
                </w:p>
              </w:tc>
              <w:tc>
                <w:tcPr>
                  <w:tcW w:w="708" w:type="dxa"/>
                </w:tcPr>
                <w:p w:rsidR="00B92A76" w:rsidRPr="0023247B" w:rsidRDefault="00B92A76" w:rsidP="0023247B">
                  <w:pPr>
                    <w:tabs>
                      <w:tab w:val="left" w:pos="284"/>
                    </w:tabs>
                    <w:jc w:val="both"/>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Serov</w:t>
                  </w:r>
                  <w:proofErr w:type="spellEnd"/>
                  <w:r w:rsidRPr="0023247B">
                    <w:rPr>
                      <w:b/>
                      <w:sz w:val="24"/>
                      <w:szCs w:val="24"/>
                      <w:lang w:val="en-US" w:eastAsia="en-US"/>
                    </w:rPr>
                    <w:t xml:space="preserve"> </w:t>
                  </w:r>
                  <w:proofErr w:type="spellStart"/>
                  <w:r w:rsidRPr="0023247B">
                    <w:rPr>
                      <w:b/>
                      <w:sz w:val="24"/>
                      <w:szCs w:val="24"/>
                      <w:lang w:val="en-US" w:eastAsia="en-US"/>
                    </w:rPr>
                    <w:t>A.Yu</w:t>
                  </w:r>
                  <w:proofErr w:type="spellEnd"/>
                  <w:r w:rsidRPr="0023247B">
                    <w:rPr>
                      <w:b/>
                      <w:sz w:val="24"/>
                      <w:szCs w:val="24"/>
                      <w:lang w:val="en-US" w:eastAsia="en-US"/>
                    </w:rPr>
                    <w:t>.</w:t>
                  </w:r>
                </w:p>
              </w:tc>
              <w:tc>
                <w:tcPr>
                  <w:tcW w:w="567" w:type="dxa"/>
                </w:tcPr>
                <w:p w:rsidR="00B92A76" w:rsidRPr="0023247B" w:rsidRDefault="00B92A76" w:rsidP="0023247B">
                  <w:pPr>
                    <w:rPr>
                      <w:b/>
                      <w:sz w:val="24"/>
                      <w:szCs w:val="24"/>
                      <w:lang w:val="en-US" w:eastAsia="en-US"/>
                    </w:rPr>
                  </w:pPr>
                  <w:r w:rsidRPr="0023247B">
                    <w:rPr>
                      <w:b/>
                      <w:sz w:val="24"/>
                      <w:szCs w:val="24"/>
                      <w:lang w:val="en-US" w:eastAsia="en-US"/>
                    </w:rPr>
                    <w:t>-</w:t>
                  </w:r>
                </w:p>
              </w:tc>
              <w:tc>
                <w:tcPr>
                  <w:tcW w:w="1559" w:type="dxa"/>
                </w:tcPr>
                <w:p w:rsidR="00B92A76" w:rsidRPr="0023247B" w:rsidRDefault="00B92A76" w:rsidP="0023247B">
                  <w:pPr>
                    <w:rPr>
                      <w:b/>
                      <w:sz w:val="24"/>
                      <w:szCs w:val="24"/>
                      <w:lang w:val="en-US" w:eastAsia="en-US"/>
                    </w:rPr>
                  </w:pPr>
                  <w:r w:rsidRPr="0023247B">
                    <w:rPr>
                      <w:b/>
                      <w:sz w:val="24"/>
                      <w:szCs w:val="24"/>
                      <w:lang w:val="en-US" w:eastAsia="en-US"/>
                    </w:rPr>
                    <w:t>FOR</w:t>
                  </w:r>
                </w:p>
              </w:tc>
            </w:tr>
            <w:tr w:rsidR="00B92A76" w:rsidRPr="00FF75E2" w:rsidTr="0023450E">
              <w:tc>
                <w:tcPr>
                  <w:tcW w:w="2376" w:type="dxa"/>
                  <w:hideMark/>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Varvarin</w:t>
                  </w:r>
                  <w:proofErr w:type="spellEnd"/>
                  <w:r w:rsidRPr="0023247B">
                    <w:rPr>
                      <w:b/>
                      <w:sz w:val="24"/>
                      <w:szCs w:val="24"/>
                      <w:lang w:val="en-US" w:eastAsia="en-US"/>
                    </w:rPr>
                    <w:t xml:space="preserve"> A.V.</w:t>
                  </w:r>
                </w:p>
              </w:tc>
              <w:tc>
                <w:tcPr>
                  <w:tcW w:w="426" w:type="dxa"/>
                  <w:hideMark/>
                </w:tcPr>
                <w:p w:rsidR="00B92A76" w:rsidRPr="0023247B" w:rsidRDefault="00B92A76" w:rsidP="0023247B">
                  <w:pPr>
                    <w:rPr>
                      <w:b/>
                      <w:sz w:val="24"/>
                      <w:szCs w:val="24"/>
                      <w:lang w:val="en-US" w:eastAsia="en-US"/>
                    </w:rPr>
                  </w:pPr>
                  <w:r w:rsidRPr="0023247B">
                    <w:rPr>
                      <w:b/>
                      <w:sz w:val="24"/>
                      <w:szCs w:val="24"/>
                      <w:lang w:val="en-US" w:eastAsia="en-US"/>
                    </w:rPr>
                    <w:t>-</w:t>
                  </w:r>
                </w:p>
              </w:tc>
              <w:tc>
                <w:tcPr>
                  <w:tcW w:w="708" w:type="dxa"/>
                  <w:hideMark/>
                </w:tcPr>
                <w:p w:rsidR="00B92A76" w:rsidRPr="0023247B" w:rsidRDefault="00B92A76" w:rsidP="0023247B">
                  <w:pPr>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hideMark/>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Sofin</w:t>
                  </w:r>
                  <w:proofErr w:type="spellEnd"/>
                  <w:r w:rsidRPr="0023247B">
                    <w:rPr>
                      <w:b/>
                      <w:sz w:val="24"/>
                      <w:szCs w:val="24"/>
                      <w:lang w:val="en-US" w:eastAsia="en-US"/>
                    </w:rPr>
                    <w:t xml:space="preserve"> V.V.</w:t>
                  </w:r>
                </w:p>
              </w:tc>
              <w:tc>
                <w:tcPr>
                  <w:tcW w:w="567" w:type="dxa"/>
                  <w:hideMark/>
                </w:tcPr>
                <w:p w:rsidR="00B92A76" w:rsidRPr="0023247B" w:rsidRDefault="00B92A76" w:rsidP="0023247B">
                  <w:pPr>
                    <w:rPr>
                      <w:b/>
                      <w:sz w:val="24"/>
                      <w:szCs w:val="24"/>
                      <w:lang w:val="en-US" w:eastAsia="en-US"/>
                    </w:rPr>
                  </w:pPr>
                  <w:r w:rsidRPr="0023247B">
                    <w:rPr>
                      <w:b/>
                      <w:sz w:val="24"/>
                      <w:szCs w:val="24"/>
                      <w:lang w:val="en-US" w:eastAsia="en-US"/>
                    </w:rPr>
                    <w:t>-</w:t>
                  </w:r>
                </w:p>
              </w:tc>
              <w:tc>
                <w:tcPr>
                  <w:tcW w:w="1559" w:type="dxa"/>
                  <w:hideMark/>
                </w:tcPr>
                <w:p w:rsidR="00B92A76" w:rsidRPr="0023247B" w:rsidRDefault="00B92A76" w:rsidP="0023247B">
                  <w:pPr>
                    <w:rPr>
                      <w:b/>
                      <w:sz w:val="24"/>
                      <w:szCs w:val="24"/>
                      <w:lang w:val="en-US" w:eastAsia="en-US"/>
                    </w:rPr>
                  </w:pPr>
                  <w:r w:rsidRPr="0023247B">
                    <w:rPr>
                      <w:b/>
                      <w:sz w:val="24"/>
                      <w:szCs w:val="24"/>
                      <w:lang w:val="en-US" w:eastAsia="en-US"/>
                    </w:rPr>
                    <w:t>FOR</w:t>
                  </w:r>
                </w:p>
              </w:tc>
            </w:tr>
            <w:tr w:rsidR="00B92A76" w:rsidRPr="00FF75E2" w:rsidTr="0023450E">
              <w:tc>
                <w:tcPr>
                  <w:tcW w:w="2376"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Gavrilov</w:t>
                  </w:r>
                  <w:proofErr w:type="spellEnd"/>
                  <w:r w:rsidRPr="0023247B">
                    <w:rPr>
                      <w:b/>
                      <w:sz w:val="24"/>
                      <w:szCs w:val="24"/>
                      <w:lang w:val="en-US" w:eastAsia="en-US"/>
                    </w:rPr>
                    <w:t xml:space="preserve"> A.I.</w:t>
                  </w:r>
                </w:p>
              </w:tc>
              <w:tc>
                <w:tcPr>
                  <w:tcW w:w="426" w:type="dxa"/>
                </w:tcPr>
                <w:p w:rsidR="00B92A76" w:rsidRPr="0023247B" w:rsidRDefault="00B92A76" w:rsidP="0023247B">
                  <w:pPr>
                    <w:rPr>
                      <w:b/>
                      <w:sz w:val="24"/>
                      <w:szCs w:val="24"/>
                      <w:lang w:val="en-US" w:eastAsia="en-US"/>
                    </w:rPr>
                  </w:pPr>
                  <w:r w:rsidRPr="0023247B">
                    <w:rPr>
                      <w:b/>
                      <w:sz w:val="24"/>
                      <w:szCs w:val="24"/>
                      <w:lang w:val="en-US" w:eastAsia="en-US"/>
                    </w:rPr>
                    <w:t>-</w:t>
                  </w:r>
                </w:p>
              </w:tc>
              <w:tc>
                <w:tcPr>
                  <w:tcW w:w="708" w:type="dxa"/>
                </w:tcPr>
                <w:p w:rsidR="00B92A76" w:rsidRPr="0023247B" w:rsidRDefault="00B92A76" w:rsidP="0023247B">
                  <w:pPr>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Khokholkova</w:t>
                  </w:r>
                  <w:proofErr w:type="spellEnd"/>
                  <w:r w:rsidRPr="0023247B">
                    <w:rPr>
                      <w:b/>
                      <w:sz w:val="24"/>
                      <w:szCs w:val="24"/>
                      <w:lang w:val="en-US" w:eastAsia="en-US"/>
                    </w:rPr>
                    <w:t xml:space="preserve"> K.V.</w:t>
                  </w:r>
                </w:p>
              </w:tc>
              <w:tc>
                <w:tcPr>
                  <w:tcW w:w="567" w:type="dxa"/>
                </w:tcPr>
                <w:p w:rsidR="00B92A76" w:rsidRPr="0023247B" w:rsidRDefault="00B92A76" w:rsidP="0023247B">
                  <w:pPr>
                    <w:rPr>
                      <w:b/>
                      <w:sz w:val="24"/>
                      <w:szCs w:val="24"/>
                      <w:lang w:val="en-US" w:eastAsia="en-US"/>
                    </w:rPr>
                  </w:pPr>
                  <w:r w:rsidRPr="0023247B">
                    <w:rPr>
                      <w:b/>
                      <w:sz w:val="24"/>
                      <w:szCs w:val="24"/>
                      <w:lang w:val="en-US" w:eastAsia="en-US"/>
                    </w:rPr>
                    <w:t>-</w:t>
                  </w:r>
                </w:p>
              </w:tc>
              <w:tc>
                <w:tcPr>
                  <w:tcW w:w="1559" w:type="dxa"/>
                </w:tcPr>
                <w:p w:rsidR="00B92A76" w:rsidRPr="0023247B" w:rsidRDefault="00B92A76" w:rsidP="0023247B">
                  <w:pPr>
                    <w:rPr>
                      <w:b/>
                      <w:sz w:val="24"/>
                      <w:szCs w:val="24"/>
                      <w:lang w:val="en-US" w:eastAsia="en-US"/>
                    </w:rPr>
                  </w:pPr>
                  <w:r w:rsidRPr="0023247B">
                    <w:rPr>
                      <w:b/>
                      <w:sz w:val="24"/>
                      <w:szCs w:val="24"/>
                      <w:lang w:val="en-US" w:eastAsia="en-US"/>
                    </w:rPr>
                    <w:t>FOR</w:t>
                  </w:r>
                </w:p>
              </w:tc>
            </w:tr>
            <w:tr w:rsidR="00B92A76" w:rsidRPr="00FF75E2" w:rsidTr="0023450E">
              <w:tc>
                <w:tcPr>
                  <w:tcW w:w="2376"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Gritsenko</w:t>
                  </w:r>
                  <w:proofErr w:type="spellEnd"/>
                  <w:r w:rsidRPr="0023247B">
                    <w:rPr>
                      <w:b/>
                      <w:sz w:val="24"/>
                      <w:szCs w:val="24"/>
                      <w:lang w:val="en-US" w:eastAsia="en-US"/>
                    </w:rPr>
                    <w:t xml:space="preserve"> V.F.</w:t>
                  </w:r>
                </w:p>
              </w:tc>
              <w:tc>
                <w:tcPr>
                  <w:tcW w:w="426" w:type="dxa"/>
                </w:tcPr>
                <w:p w:rsidR="00B92A76" w:rsidRPr="0023247B" w:rsidRDefault="00B92A76" w:rsidP="0023247B">
                  <w:pPr>
                    <w:rPr>
                      <w:b/>
                      <w:sz w:val="24"/>
                      <w:szCs w:val="24"/>
                      <w:lang w:val="en-US" w:eastAsia="en-US"/>
                    </w:rPr>
                  </w:pPr>
                  <w:r w:rsidRPr="0023247B">
                    <w:rPr>
                      <w:b/>
                      <w:sz w:val="24"/>
                      <w:szCs w:val="24"/>
                      <w:lang w:val="en-US" w:eastAsia="en-US"/>
                    </w:rPr>
                    <w:t>-</w:t>
                  </w:r>
                </w:p>
              </w:tc>
              <w:tc>
                <w:tcPr>
                  <w:tcW w:w="708" w:type="dxa"/>
                </w:tcPr>
                <w:p w:rsidR="00B92A76" w:rsidRPr="0023247B" w:rsidRDefault="00B92A76" w:rsidP="0023247B">
                  <w:pPr>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Shmakov</w:t>
                  </w:r>
                  <w:proofErr w:type="spellEnd"/>
                  <w:r w:rsidRPr="0023247B">
                    <w:rPr>
                      <w:b/>
                      <w:sz w:val="24"/>
                      <w:szCs w:val="24"/>
                      <w:lang w:val="en-US" w:eastAsia="en-US"/>
                    </w:rPr>
                    <w:t xml:space="preserve"> I.V.</w:t>
                  </w:r>
                </w:p>
              </w:tc>
              <w:tc>
                <w:tcPr>
                  <w:tcW w:w="567" w:type="dxa"/>
                  <w:hideMark/>
                </w:tcPr>
                <w:p w:rsidR="00B92A76" w:rsidRPr="0023247B" w:rsidRDefault="00B92A76" w:rsidP="0023247B">
                  <w:pPr>
                    <w:rPr>
                      <w:b/>
                      <w:sz w:val="24"/>
                      <w:szCs w:val="24"/>
                      <w:lang w:val="en-US" w:eastAsia="en-US"/>
                    </w:rPr>
                  </w:pPr>
                  <w:r w:rsidRPr="0023247B">
                    <w:rPr>
                      <w:b/>
                      <w:sz w:val="24"/>
                      <w:szCs w:val="24"/>
                      <w:lang w:val="en-US" w:eastAsia="en-US"/>
                    </w:rPr>
                    <w:t>-</w:t>
                  </w:r>
                </w:p>
              </w:tc>
              <w:tc>
                <w:tcPr>
                  <w:tcW w:w="1559" w:type="dxa"/>
                  <w:hideMark/>
                </w:tcPr>
                <w:p w:rsidR="00B92A76" w:rsidRPr="0023247B" w:rsidRDefault="00B92A76" w:rsidP="0023247B">
                  <w:pPr>
                    <w:rPr>
                      <w:b/>
                      <w:sz w:val="24"/>
                      <w:szCs w:val="24"/>
                      <w:lang w:val="en-US" w:eastAsia="en-US"/>
                    </w:rPr>
                  </w:pPr>
                  <w:r w:rsidRPr="0023247B">
                    <w:rPr>
                      <w:b/>
                      <w:sz w:val="24"/>
                      <w:szCs w:val="24"/>
                      <w:lang w:val="en-US" w:eastAsia="en-US"/>
                    </w:rPr>
                    <w:t>FOR</w:t>
                  </w:r>
                </w:p>
              </w:tc>
            </w:tr>
            <w:tr w:rsidR="00B92A76" w:rsidRPr="00FF75E2" w:rsidTr="0023450E">
              <w:tc>
                <w:tcPr>
                  <w:tcW w:w="2376" w:type="dxa"/>
                </w:tcPr>
                <w:p w:rsidR="00B92A76" w:rsidRPr="0023247B" w:rsidRDefault="00B92A76" w:rsidP="0023247B">
                  <w:pPr>
                    <w:tabs>
                      <w:tab w:val="left" w:pos="284"/>
                    </w:tabs>
                    <w:jc w:val="both"/>
                    <w:rPr>
                      <w:b/>
                      <w:sz w:val="24"/>
                      <w:szCs w:val="24"/>
                      <w:lang w:val="en-US" w:eastAsia="en-US"/>
                    </w:rPr>
                  </w:pPr>
                  <w:proofErr w:type="spellStart"/>
                  <w:r w:rsidRPr="0023247B">
                    <w:rPr>
                      <w:b/>
                      <w:sz w:val="24"/>
                      <w:szCs w:val="24"/>
                      <w:lang w:val="en-US" w:eastAsia="en-US"/>
                    </w:rPr>
                    <w:t>Yefimov</w:t>
                  </w:r>
                  <w:proofErr w:type="spellEnd"/>
                  <w:r w:rsidRPr="0023247B">
                    <w:rPr>
                      <w:b/>
                      <w:sz w:val="24"/>
                      <w:szCs w:val="24"/>
                      <w:lang w:val="en-US" w:eastAsia="en-US"/>
                    </w:rPr>
                    <w:t xml:space="preserve"> A.L.</w:t>
                  </w:r>
                </w:p>
              </w:tc>
              <w:tc>
                <w:tcPr>
                  <w:tcW w:w="426" w:type="dxa"/>
                </w:tcPr>
                <w:p w:rsidR="00B92A76" w:rsidRPr="0023247B" w:rsidRDefault="00B92A76" w:rsidP="0023247B">
                  <w:pPr>
                    <w:rPr>
                      <w:b/>
                      <w:sz w:val="24"/>
                      <w:szCs w:val="24"/>
                      <w:lang w:val="en-US" w:eastAsia="en-US"/>
                    </w:rPr>
                  </w:pPr>
                  <w:r w:rsidRPr="0023247B">
                    <w:rPr>
                      <w:b/>
                      <w:sz w:val="24"/>
                      <w:szCs w:val="24"/>
                      <w:lang w:val="en-US" w:eastAsia="en-US"/>
                    </w:rPr>
                    <w:t>-</w:t>
                  </w:r>
                </w:p>
              </w:tc>
              <w:tc>
                <w:tcPr>
                  <w:tcW w:w="708" w:type="dxa"/>
                </w:tcPr>
                <w:p w:rsidR="00B92A76" w:rsidRPr="0023247B" w:rsidRDefault="00B92A76" w:rsidP="0023247B">
                  <w:pPr>
                    <w:rPr>
                      <w:b/>
                      <w:sz w:val="24"/>
                      <w:szCs w:val="24"/>
                      <w:lang w:val="en-US" w:eastAsia="en-US"/>
                    </w:rPr>
                  </w:pPr>
                  <w:r w:rsidRPr="0023247B">
                    <w:rPr>
                      <w:b/>
                      <w:sz w:val="24"/>
                      <w:szCs w:val="24"/>
                      <w:lang w:val="en-US" w:eastAsia="en-US"/>
                    </w:rPr>
                    <w:t>FOR</w:t>
                  </w:r>
                </w:p>
              </w:tc>
              <w:tc>
                <w:tcPr>
                  <w:tcW w:w="993" w:type="dxa"/>
                </w:tcPr>
                <w:p w:rsidR="00B92A76" w:rsidRPr="0023247B" w:rsidRDefault="00B92A76" w:rsidP="0023247B">
                  <w:pPr>
                    <w:tabs>
                      <w:tab w:val="left" w:pos="284"/>
                    </w:tabs>
                    <w:jc w:val="both"/>
                    <w:rPr>
                      <w:b/>
                      <w:sz w:val="24"/>
                      <w:szCs w:val="24"/>
                      <w:lang w:val="en-US" w:eastAsia="en-US"/>
                    </w:rPr>
                  </w:pPr>
                </w:p>
              </w:tc>
              <w:tc>
                <w:tcPr>
                  <w:tcW w:w="2268" w:type="dxa"/>
                </w:tcPr>
                <w:p w:rsidR="00B92A76" w:rsidRPr="0023247B" w:rsidRDefault="00B92A76" w:rsidP="0023247B">
                  <w:pPr>
                    <w:tabs>
                      <w:tab w:val="left" w:pos="284"/>
                    </w:tabs>
                    <w:jc w:val="both"/>
                    <w:rPr>
                      <w:b/>
                      <w:sz w:val="24"/>
                      <w:szCs w:val="24"/>
                      <w:lang w:val="en-US" w:eastAsia="en-US"/>
                    </w:rPr>
                  </w:pPr>
                </w:p>
              </w:tc>
              <w:tc>
                <w:tcPr>
                  <w:tcW w:w="567" w:type="dxa"/>
                </w:tcPr>
                <w:p w:rsidR="00B92A76" w:rsidRPr="0023247B" w:rsidRDefault="00B92A76" w:rsidP="0023247B">
                  <w:pPr>
                    <w:rPr>
                      <w:b/>
                      <w:sz w:val="24"/>
                      <w:szCs w:val="24"/>
                      <w:lang w:val="en-US" w:eastAsia="en-US"/>
                    </w:rPr>
                  </w:pPr>
                </w:p>
              </w:tc>
              <w:tc>
                <w:tcPr>
                  <w:tcW w:w="1559" w:type="dxa"/>
                </w:tcPr>
                <w:p w:rsidR="00B92A76" w:rsidRPr="0023247B" w:rsidRDefault="00B92A76" w:rsidP="0023247B">
                  <w:pPr>
                    <w:rPr>
                      <w:b/>
                      <w:sz w:val="24"/>
                      <w:szCs w:val="24"/>
                      <w:lang w:val="en-US" w:eastAsia="en-US"/>
                    </w:rPr>
                  </w:pPr>
                </w:p>
              </w:tc>
            </w:tr>
          </w:tbl>
          <w:p w:rsidR="00B92A76" w:rsidRPr="0023247B" w:rsidRDefault="00B92A76" w:rsidP="0023247B">
            <w:pPr>
              <w:tabs>
                <w:tab w:val="left" w:pos="284"/>
              </w:tabs>
              <w:jc w:val="both"/>
              <w:rPr>
                <w:b/>
                <w:sz w:val="24"/>
                <w:szCs w:val="24"/>
                <w:lang w:val="en-US"/>
              </w:rPr>
            </w:pPr>
            <w:r w:rsidRPr="0023247B">
              <w:rPr>
                <w:b/>
                <w:sz w:val="24"/>
                <w:szCs w:val="24"/>
                <w:lang w:val="en-US"/>
              </w:rPr>
              <w:t xml:space="preserve">The BoD members participating in the meeting unanimously adopted the decision on approval of </w:t>
            </w:r>
            <w:r w:rsidRPr="0023247B">
              <w:rPr>
                <w:b/>
                <w:sz w:val="24"/>
                <w:szCs w:val="24"/>
                <w:lang w:val="en-US" w:eastAsia="en-US"/>
              </w:rPr>
              <w:t>the additional issue of securities</w:t>
            </w:r>
            <w:r w:rsidRPr="0023247B">
              <w:rPr>
                <w:b/>
                <w:sz w:val="24"/>
                <w:szCs w:val="24"/>
                <w:lang w:val="en-US"/>
              </w:rPr>
              <w:t>.</w:t>
            </w:r>
          </w:p>
          <w:p w:rsidR="00B92A76" w:rsidRPr="0023247B" w:rsidRDefault="00B92A76" w:rsidP="0023247B">
            <w:pPr>
              <w:tabs>
                <w:tab w:val="left" w:pos="284"/>
              </w:tabs>
              <w:jc w:val="both"/>
              <w:rPr>
                <w:b/>
                <w:sz w:val="24"/>
                <w:szCs w:val="24"/>
                <w:lang w:val="en-US"/>
              </w:rPr>
            </w:pPr>
            <w:r w:rsidRPr="0023247B">
              <w:rPr>
                <w:sz w:val="24"/>
                <w:szCs w:val="24"/>
                <w:lang w:val="en-US"/>
              </w:rPr>
              <w:t>2.5. Kind, category (type), series and other identification characteristics of securities</w:t>
            </w:r>
            <w:r w:rsidRPr="0023247B">
              <w:rPr>
                <w:b/>
                <w:sz w:val="24"/>
                <w:szCs w:val="24"/>
                <w:lang w:val="en-US"/>
              </w:rPr>
              <w:t>: ordinary registered uncertified shares.</w:t>
            </w:r>
          </w:p>
          <w:p w:rsidR="00B92A76" w:rsidRPr="0023247B" w:rsidRDefault="00B92A76" w:rsidP="0023247B">
            <w:pPr>
              <w:jc w:val="both"/>
              <w:rPr>
                <w:sz w:val="24"/>
                <w:szCs w:val="24"/>
                <w:lang w:val="en-US"/>
              </w:rPr>
            </w:pPr>
            <w:r w:rsidRPr="0023247B">
              <w:rPr>
                <w:sz w:val="24"/>
                <w:szCs w:val="24"/>
                <w:lang w:val="en-US"/>
              </w:rPr>
              <w:t>2.6. Terms of securities placement, determined by the resolution on their placement:</w:t>
            </w:r>
          </w:p>
          <w:p w:rsidR="00B92A76" w:rsidRPr="00FF75E2" w:rsidRDefault="00B92A76" w:rsidP="0023247B">
            <w:pPr>
              <w:jc w:val="both"/>
              <w:rPr>
                <w:b/>
                <w:sz w:val="24"/>
                <w:szCs w:val="24"/>
                <w:lang w:val="en-US"/>
              </w:rPr>
            </w:pPr>
            <w:r w:rsidRPr="00FF75E2">
              <w:rPr>
                <w:b/>
                <w:sz w:val="24"/>
                <w:szCs w:val="24"/>
                <w:lang w:val="en-US"/>
              </w:rPr>
              <w:t xml:space="preserve">To increase authorized capital of “Kubanenergo” PJSC by placing additional ordinary registered uncertified shares in amount of 57 457 846 (fifty seven million four hundred fifty seven thousand eight hundred forty six) shares with par value of 100 (one hundred) rubles each for the total sum of 5 745 784 600 (five billion seven hundred forty five million seven hundred eighty four thousand six hundred) rubles, on the following conditions: </w:t>
            </w:r>
          </w:p>
          <w:p w:rsidR="00B92A76" w:rsidRPr="00FF75E2" w:rsidRDefault="00382829" w:rsidP="0023247B">
            <w:pPr>
              <w:jc w:val="both"/>
              <w:rPr>
                <w:b/>
                <w:sz w:val="24"/>
                <w:szCs w:val="24"/>
                <w:lang w:val="en-US"/>
              </w:rPr>
            </w:pPr>
            <w:r w:rsidRPr="00FF75E2">
              <w:rPr>
                <w:b/>
                <w:sz w:val="24"/>
                <w:szCs w:val="24"/>
                <w:lang w:val="en-US"/>
              </w:rPr>
              <w:t>method of placement</w:t>
            </w:r>
            <w:r w:rsidR="00B92A76" w:rsidRPr="00FF75E2">
              <w:rPr>
                <w:b/>
                <w:sz w:val="24"/>
                <w:szCs w:val="24"/>
                <w:lang w:val="en-US"/>
              </w:rPr>
              <w:t xml:space="preserve"> – public offering </w:t>
            </w:r>
          </w:p>
          <w:p w:rsidR="00B92A76" w:rsidRPr="00FF75E2" w:rsidRDefault="00B92A76" w:rsidP="0023247B">
            <w:pPr>
              <w:jc w:val="both"/>
              <w:rPr>
                <w:b/>
                <w:sz w:val="24"/>
                <w:szCs w:val="24"/>
                <w:lang w:val="en-US"/>
              </w:rPr>
            </w:pPr>
            <w:r w:rsidRPr="00FF75E2">
              <w:rPr>
                <w:b/>
                <w:sz w:val="24"/>
                <w:szCs w:val="24"/>
                <w:lang w:val="en-US"/>
              </w:rPr>
              <w:lastRenderedPageBreak/>
              <w:t>placing price (including those from the list of persons with pre-emption right to acquire the additional shares)</w:t>
            </w:r>
            <w:r w:rsidR="00FF75E2" w:rsidRPr="00FF75E2">
              <w:rPr>
                <w:b/>
                <w:sz w:val="24"/>
                <w:szCs w:val="24"/>
                <w:lang w:val="en-US"/>
              </w:rPr>
              <w:t xml:space="preserve"> </w:t>
            </w:r>
            <w:r w:rsidRPr="00FF75E2">
              <w:rPr>
                <w:b/>
                <w:sz w:val="24"/>
                <w:szCs w:val="24"/>
                <w:lang w:val="en-US"/>
              </w:rPr>
              <w:t>of one ordinary registered uncertified share was determined by the BoD of Kubanenergo PJSC on 29.07.2016 and amounts to 100 (one hundred) rubles 00 kopeks method of payment for additional shares – in monetary terms in rubles of Russian Federation in cashless form by transferring to the account of Kubanenergo PJSC</w:t>
            </w:r>
          </w:p>
          <w:p w:rsidR="00C63833" w:rsidRPr="00FF75E2" w:rsidRDefault="00C63833" w:rsidP="0023247B">
            <w:pPr>
              <w:pStyle w:val="a7"/>
              <w:widowControl w:val="0"/>
              <w:tabs>
                <w:tab w:val="left" w:pos="0"/>
                <w:tab w:val="left" w:pos="407"/>
              </w:tabs>
              <w:autoSpaceDE w:val="0"/>
              <w:autoSpaceDN w:val="0"/>
              <w:adjustRightInd w:val="0"/>
              <w:spacing w:after="0" w:line="240" w:lineRule="auto"/>
              <w:ind w:left="0"/>
              <w:jc w:val="both"/>
              <w:rPr>
                <w:rFonts w:ascii="Times New Roman" w:hAnsi="Times New Roman" w:cs="Times New Roman"/>
                <w:b/>
                <w:sz w:val="24"/>
                <w:szCs w:val="24"/>
              </w:rPr>
            </w:pPr>
            <w:r w:rsidRPr="0023247B">
              <w:rPr>
                <w:rFonts w:ascii="Times New Roman" w:hAnsi="Times New Roman" w:cs="Times New Roman"/>
                <w:sz w:val="24"/>
                <w:szCs w:val="24"/>
              </w:rPr>
              <w:t xml:space="preserve">2.6. The fact of providing to shareholders or (and) other persons/entities with pre-emptive right to purchase the shares: </w:t>
            </w:r>
            <w:r w:rsidRPr="00FF75E2">
              <w:rPr>
                <w:rFonts w:ascii="Times New Roman" w:hAnsi="Times New Roman" w:cs="Times New Roman"/>
                <w:b/>
                <w:sz w:val="24"/>
                <w:szCs w:val="24"/>
              </w:rPr>
              <w:t>According to article 40 of Federal law “On joint stock companies” Issuer’s shareholders, owners of ordinary shares that have right to participate in extraordinary general meeting at which the decision on increase of authorized capital of “Kubanenergo” PJSC by placement of securities was taken, have preemptive right to purchase additional shares of the Issuer in the amount proportional to the amount shares held by the shareholder</w:t>
            </w:r>
            <w:r w:rsidRPr="00FF75E2">
              <w:rPr>
                <w:rFonts w:ascii="Times New Roman" w:hAnsi="Times New Roman" w:cs="Times New Roman"/>
                <w:b/>
                <w:bCs/>
                <w:sz w:val="24"/>
                <w:szCs w:val="24"/>
              </w:rPr>
              <w:t xml:space="preserve">. </w:t>
            </w:r>
          </w:p>
          <w:p w:rsidR="00B92A76" w:rsidRPr="0023247B" w:rsidRDefault="0023247B" w:rsidP="0023247B">
            <w:pPr>
              <w:jc w:val="both"/>
              <w:rPr>
                <w:b/>
                <w:sz w:val="24"/>
                <w:szCs w:val="24"/>
                <w:lang w:val="en-US"/>
              </w:rPr>
            </w:pPr>
            <w:r w:rsidRPr="0023247B">
              <w:rPr>
                <w:sz w:val="24"/>
                <w:szCs w:val="24"/>
                <w:lang w:val="en-US"/>
              </w:rPr>
              <w:t xml:space="preserve">2.7. If an issue (additional issue) of securities is subject to state registration, and securities admitted (or to be admitted) to official trading are distributed through public offering with payment in cash or other securities admitted to official trading, then the information about the Issuer’s intention to file a report on the results of an issue (additional issue) of securities to a registering authority, or a notice of the results of an issue (additional issue) once the placement of securities has been finalized: </w:t>
            </w:r>
            <w:r w:rsidRPr="0023247B">
              <w:rPr>
                <w:b/>
                <w:sz w:val="24"/>
                <w:szCs w:val="24"/>
                <w:lang w:val="en-US"/>
              </w:rPr>
              <w:t>The document covering the actual results of placement of securities to be filed with a registering authority by the Issuer once the placement of securities has been finalized will be the notice of the results of an additional issue of securities.</w:t>
            </w:r>
          </w:p>
          <w:p w:rsidR="0023247B" w:rsidRPr="0023247B" w:rsidRDefault="0023247B" w:rsidP="0023247B">
            <w:pPr>
              <w:jc w:val="both"/>
              <w:rPr>
                <w:sz w:val="24"/>
                <w:szCs w:val="24"/>
                <w:lang w:val="en-US"/>
              </w:rPr>
            </w:pPr>
            <w:r w:rsidRPr="0023247B">
              <w:rPr>
                <w:sz w:val="24"/>
                <w:szCs w:val="24"/>
                <w:lang w:val="en-US"/>
              </w:rPr>
              <w:t>2.8. Indication of whether the Company's Prospectus of securities is required t</w:t>
            </w:r>
            <w:bookmarkStart w:id="0" w:name="_GoBack"/>
            <w:bookmarkEnd w:id="0"/>
            <w:r w:rsidRPr="0023247B">
              <w:rPr>
                <w:sz w:val="24"/>
                <w:szCs w:val="24"/>
                <w:lang w:val="en-US"/>
              </w:rPr>
              <w:t xml:space="preserve">o be filed (submitted on the stock exchange) in the course of securities placement: </w:t>
            </w:r>
            <w:r w:rsidRPr="0023247B">
              <w:rPr>
                <w:b/>
                <w:sz w:val="24"/>
                <w:szCs w:val="24"/>
                <w:lang w:val="en-US"/>
              </w:rPr>
              <w:t>The state registration of the additional issue of shares is accompanied by the registration of the securities prospectus.</w:t>
            </w:r>
          </w:p>
        </w:tc>
      </w:tr>
      <w:tr w:rsidR="00E2230C" w:rsidRPr="0023247B" w:rsidTr="00E2230C">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2230C" w:rsidRPr="0023247B" w:rsidRDefault="00E2230C" w:rsidP="0023247B">
            <w:pPr>
              <w:jc w:val="center"/>
              <w:rPr>
                <w:sz w:val="24"/>
                <w:szCs w:val="24"/>
                <w:lang w:val="en-US" w:eastAsia="en-US"/>
              </w:rPr>
            </w:pPr>
            <w:r w:rsidRPr="0023247B">
              <w:rPr>
                <w:sz w:val="24"/>
                <w:szCs w:val="24"/>
                <w:lang w:val="en-US" w:eastAsia="en-US"/>
              </w:rPr>
              <w:lastRenderedPageBreak/>
              <w:t>3. Signature</w:t>
            </w:r>
          </w:p>
        </w:tc>
      </w:tr>
      <w:tr w:rsidR="00E2230C" w:rsidRPr="0023247B" w:rsidTr="00E2230C">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E2230C" w:rsidRPr="0023247B" w:rsidRDefault="00E2230C" w:rsidP="0023247B">
            <w:pPr>
              <w:pStyle w:val="Default"/>
              <w:rPr>
                <w:lang w:val="en-US"/>
              </w:rPr>
            </w:pPr>
            <w:r w:rsidRPr="0023247B">
              <w:rPr>
                <w:lang w:val="en-US"/>
              </w:rPr>
              <w:t>3.1 Deputy Director General in charge of Corporate Governance (by power of attorney No.1-847 dated 25.05.2016)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E2230C" w:rsidRPr="0023247B" w:rsidRDefault="00E2230C" w:rsidP="0023247B">
            <w:pPr>
              <w:rPr>
                <w:sz w:val="24"/>
                <w:szCs w:val="24"/>
                <w:lang w:val="en-US" w:eastAsia="en-US"/>
              </w:rPr>
            </w:pPr>
            <w:r w:rsidRPr="0023247B">
              <w:rPr>
                <w:sz w:val="24"/>
                <w:szCs w:val="24"/>
                <w:lang w:val="en-US" w:eastAsia="en-US"/>
              </w:rPr>
              <w:t>_______________</w:t>
            </w:r>
          </w:p>
          <w:p w:rsidR="00E2230C" w:rsidRPr="0023247B" w:rsidRDefault="00E2230C" w:rsidP="0023247B">
            <w:pPr>
              <w:rPr>
                <w:sz w:val="24"/>
                <w:szCs w:val="24"/>
                <w:lang w:val="en-US" w:eastAsia="en-US"/>
              </w:rPr>
            </w:pPr>
            <w:r w:rsidRPr="0023247B">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E2230C" w:rsidRPr="0023247B" w:rsidRDefault="00E2230C" w:rsidP="0023247B">
            <w:pPr>
              <w:rPr>
                <w:sz w:val="24"/>
                <w:szCs w:val="24"/>
                <w:lang w:val="en-US" w:eastAsia="en-US"/>
              </w:rPr>
            </w:pPr>
            <w:proofErr w:type="spellStart"/>
            <w:r w:rsidRPr="0023247B">
              <w:rPr>
                <w:sz w:val="24"/>
                <w:szCs w:val="24"/>
                <w:lang w:val="en-US" w:eastAsia="en-US"/>
              </w:rPr>
              <w:t>Ivanova</w:t>
            </w:r>
            <w:proofErr w:type="spellEnd"/>
            <w:r w:rsidRPr="0023247B">
              <w:rPr>
                <w:sz w:val="24"/>
                <w:szCs w:val="24"/>
                <w:lang w:val="en-US" w:eastAsia="en-US"/>
              </w:rPr>
              <w:t xml:space="preserve"> I.V.</w:t>
            </w:r>
          </w:p>
          <w:p w:rsidR="00E2230C" w:rsidRPr="0023247B" w:rsidRDefault="00E2230C" w:rsidP="0023247B">
            <w:pPr>
              <w:rPr>
                <w:sz w:val="24"/>
                <w:szCs w:val="24"/>
                <w:lang w:val="en-US" w:eastAsia="en-US"/>
              </w:rPr>
            </w:pPr>
          </w:p>
        </w:tc>
      </w:tr>
      <w:tr w:rsidR="00E2230C" w:rsidRPr="0023247B" w:rsidTr="00E2230C">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E2230C" w:rsidRPr="0023247B" w:rsidRDefault="00E2230C" w:rsidP="0023247B">
            <w:pPr>
              <w:rPr>
                <w:sz w:val="24"/>
                <w:szCs w:val="24"/>
                <w:lang w:val="en-US" w:eastAsia="en-US"/>
              </w:rPr>
            </w:pPr>
            <w:r w:rsidRPr="0023247B">
              <w:rPr>
                <w:sz w:val="24"/>
                <w:szCs w:val="24"/>
                <w:lang w:val="en-US" w:eastAsia="en-US"/>
              </w:rPr>
              <w:t xml:space="preserve">3.2 Date: </w:t>
            </w:r>
            <w:r w:rsidR="0023247B" w:rsidRPr="0023247B">
              <w:rPr>
                <w:sz w:val="24"/>
                <w:szCs w:val="24"/>
                <w:lang w:val="en-US" w:eastAsia="en-US"/>
              </w:rPr>
              <w:t>30</w:t>
            </w:r>
            <w:r w:rsidRPr="0023247B">
              <w:rPr>
                <w:sz w:val="24"/>
                <w:szCs w:val="24"/>
                <w:lang w:val="en-US" w:eastAsia="en-US"/>
              </w:rPr>
              <w:t xml:space="preserve"> November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E2230C" w:rsidRPr="0023247B" w:rsidRDefault="00E2230C" w:rsidP="0023247B">
            <w:pPr>
              <w:rPr>
                <w:sz w:val="24"/>
                <w:szCs w:val="24"/>
                <w:lang w:val="en-US" w:eastAsia="en-US"/>
              </w:rPr>
            </w:pPr>
            <w:r w:rsidRPr="0023247B">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E2230C" w:rsidRPr="0023247B" w:rsidRDefault="00E2230C" w:rsidP="0023247B">
            <w:pPr>
              <w:rPr>
                <w:sz w:val="24"/>
                <w:szCs w:val="24"/>
                <w:lang w:val="en-US" w:eastAsia="en-US"/>
              </w:rPr>
            </w:pPr>
          </w:p>
        </w:tc>
      </w:tr>
    </w:tbl>
    <w:p w:rsidR="00E2230C" w:rsidRPr="0023247B" w:rsidRDefault="00E2230C" w:rsidP="0023247B">
      <w:pPr>
        <w:rPr>
          <w:sz w:val="24"/>
          <w:szCs w:val="24"/>
        </w:rPr>
      </w:pPr>
    </w:p>
    <w:p w:rsidR="00E2230C" w:rsidRPr="0023247B" w:rsidRDefault="00E2230C" w:rsidP="0023247B">
      <w:pPr>
        <w:rPr>
          <w:sz w:val="24"/>
          <w:szCs w:val="24"/>
        </w:rPr>
      </w:pPr>
    </w:p>
    <w:p w:rsidR="00E2230C" w:rsidRPr="0023247B" w:rsidRDefault="00E2230C" w:rsidP="0023247B">
      <w:pPr>
        <w:rPr>
          <w:sz w:val="24"/>
          <w:szCs w:val="24"/>
        </w:rPr>
      </w:pPr>
    </w:p>
    <w:p w:rsidR="00E2230C" w:rsidRPr="0023247B" w:rsidRDefault="00E2230C" w:rsidP="0023247B">
      <w:pPr>
        <w:rPr>
          <w:sz w:val="24"/>
          <w:szCs w:val="24"/>
        </w:rPr>
      </w:pPr>
    </w:p>
    <w:p w:rsidR="00E2230C" w:rsidRPr="0023247B" w:rsidRDefault="00E2230C" w:rsidP="0023247B">
      <w:pPr>
        <w:rPr>
          <w:sz w:val="24"/>
          <w:szCs w:val="24"/>
        </w:rPr>
      </w:pPr>
    </w:p>
    <w:p w:rsidR="0074242A" w:rsidRPr="0023247B" w:rsidRDefault="0074242A" w:rsidP="0023247B">
      <w:pPr>
        <w:rPr>
          <w:sz w:val="24"/>
          <w:szCs w:val="24"/>
        </w:rPr>
      </w:pPr>
    </w:p>
    <w:sectPr w:rsidR="0074242A" w:rsidRPr="00232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0C"/>
    <w:rsid w:val="0023247B"/>
    <w:rsid w:val="00382829"/>
    <w:rsid w:val="0051551F"/>
    <w:rsid w:val="0074242A"/>
    <w:rsid w:val="00B92A76"/>
    <w:rsid w:val="00BB786E"/>
    <w:rsid w:val="00C63833"/>
    <w:rsid w:val="00E2230C"/>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EC644-CC0D-41ED-819E-F75B1897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30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30C"/>
    <w:rPr>
      <w:color w:val="0000FF"/>
      <w:u w:val="single"/>
    </w:rPr>
  </w:style>
  <w:style w:type="paragraph" w:styleId="a4">
    <w:name w:val="No Spacing"/>
    <w:link w:val="a5"/>
    <w:uiPriority w:val="1"/>
    <w:qFormat/>
    <w:rsid w:val="00E2230C"/>
    <w:pPr>
      <w:spacing w:after="0" w:line="240" w:lineRule="auto"/>
    </w:pPr>
    <w:rPr>
      <w:rFonts w:ascii="Calibri" w:eastAsia="Calibri" w:hAnsi="Calibri" w:cs="Times New Roman"/>
    </w:rPr>
  </w:style>
  <w:style w:type="paragraph" w:customStyle="1" w:styleId="ConsNonformat">
    <w:name w:val="ConsNonformat"/>
    <w:rsid w:val="00E223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E223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B92A76"/>
    <w:rPr>
      <w:rFonts w:ascii="Calibri" w:eastAsia="Calibri" w:hAnsi="Calibri" w:cs="Times New Roman"/>
    </w:rPr>
  </w:style>
  <w:style w:type="table" w:styleId="a6">
    <w:name w:val="Table Grid"/>
    <w:basedOn w:val="a1"/>
    <w:uiPriority w:val="59"/>
    <w:rsid w:val="00B92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63833"/>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01717">
      <w:bodyDiv w:val="1"/>
      <w:marLeft w:val="0"/>
      <w:marRight w:val="0"/>
      <w:marTop w:val="0"/>
      <w:marBottom w:val="0"/>
      <w:divBdr>
        <w:top w:val="none" w:sz="0" w:space="0" w:color="auto"/>
        <w:left w:val="none" w:sz="0" w:space="0" w:color="auto"/>
        <w:bottom w:val="none" w:sz="0" w:space="0" w:color="auto"/>
        <w:right w:val="none" w:sz="0" w:space="0" w:color="auto"/>
      </w:divBdr>
      <w:divsChild>
        <w:div w:id="733967513">
          <w:marLeft w:val="0"/>
          <w:marRight w:val="0"/>
          <w:marTop w:val="0"/>
          <w:marBottom w:val="0"/>
          <w:divBdr>
            <w:top w:val="none" w:sz="0" w:space="0" w:color="auto"/>
            <w:left w:val="none" w:sz="0" w:space="0" w:color="auto"/>
            <w:bottom w:val="none" w:sz="0" w:space="0" w:color="auto"/>
            <w:right w:val="none" w:sz="0" w:space="0" w:color="auto"/>
          </w:divBdr>
          <w:divsChild>
            <w:div w:id="851530575">
              <w:marLeft w:val="0"/>
              <w:marRight w:val="60"/>
              <w:marTop w:val="0"/>
              <w:marBottom w:val="0"/>
              <w:divBdr>
                <w:top w:val="none" w:sz="0" w:space="0" w:color="auto"/>
                <w:left w:val="none" w:sz="0" w:space="0" w:color="auto"/>
                <w:bottom w:val="none" w:sz="0" w:space="0" w:color="auto"/>
                <w:right w:val="none" w:sz="0" w:space="0" w:color="auto"/>
              </w:divBdr>
              <w:divsChild>
                <w:div w:id="1721592137">
                  <w:marLeft w:val="0"/>
                  <w:marRight w:val="0"/>
                  <w:marTop w:val="0"/>
                  <w:marBottom w:val="120"/>
                  <w:divBdr>
                    <w:top w:val="single" w:sz="6" w:space="0" w:color="C0C0C0"/>
                    <w:left w:val="single" w:sz="6" w:space="0" w:color="D9D9D9"/>
                    <w:bottom w:val="single" w:sz="6" w:space="0" w:color="D9D9D9"/>
                    <w:right w:val="single" w:sz="6" w:space="0" w:color="D9D9D9"/>
                  </w:divBdr>
                  <w:divsChild>
                    <w:div w:id="4436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8821">
          <w:marLeft w:val="0"/>
          <w:marRight w:val="0"/>
          <w:marTop w:val="0"/>
          <w:marBottom w:val="0"/>
          <w:divBdr>
            <w:top w:val="none" w:sz="0" w:space="0" w:color="auto"/>
            <w:left w:val="none" w:sz="0" w:space="0" w:color="auto"/>
            <w:bottom w:val="none" w:sz="0" w:space="0" w:color="auto"/>
            <w:right w:val="none" w:sz="0" w:space="0" w:color="auto"/>
          </w:divBdr>
          <w:divsChild>
            <w:div w:id="521020732">
              <w:marLeft w:val="60"/>
              <w:marRight w:val="0"/>
              <w:marTop w:val="0"/>
              <w:marBottom w:val="0"/>
              <w:divBdr>
                <w:top w:val="none" w:sz="0" w:space="0" w:color="auto"/>
                <w:left w:val="none" w:sz="0" w:space="0" w:color="auto"/>
                <w:bottom w:val="none" w:sz="0" w:space="0" w:color="auto"/>
                <w:right w:val="none" w:sz="0" w:space="0" w:color="auto"/>
              </w:divBdr>
              <w:divsChild>
                <w:div w:id="1394549313">
                  <w:marLeft w:val="0"/>
                  <w:marRight w:val="0"/>
                  <w:marTop w:val="0"/>
                  <w:marBottom w:val="0"/>
                  <w:divBdr>
                    <w:top w:val="none" w:sz="0" w:space="0" w:color="auto"/>
                    <w:left w:val="none" w:sz="0" w:space="0" w:color="auto"/>
                    <w:bottom w:val="none" w:sz="0" w:space="0" w:color="auto"/>
                    <w:right w:val="none" w:sz="0" w:space="0" w:color="auto"/>
                  </w:divBdr>
                  <w:divsChild>
                    <w:div w:id="769082715">
                      <w:marLeft w:val="0"/>
                      <w:marRight w:val="0"/>
                      <w:marTop w:val="0"/>
                      <w:marBottom w:val="750"/>
                      <w:divBdr>
                        <w:top w:val="single" w:sz="6" w:space="0" w:color="F5F5F5"/>
                        <w:left w:val="single" w:sz="6" w:space="0" w:color="F5F5F5"/>
                        <w:bottom w:val="single" w:sz="6" w:space="0" w:color="F5F5F5"/>
                        <w:right w:val="single" w:sz="6" w:space="0" w:color="F5F5F5"/>
                      </w:divBdr>
                      <w:divsChild>
                        <w:div w:id="381714102">
                          <w:marLeft w:val="0"/>
                          <w:marRight w:val="0"/>
                          <w:marTop w:val="0"/>
                          <w:marBottom w:val="0"/>
                          <w:divBdr>
                            <w:top w:val="none" w:sz="0" w:space="0" w:color="auto"/>
                            <w:left w:val="none" w:sz="0" w:space="0" w:color="auto"/>
                            <w:bottom w:val="none" w:sz="0" w:space="0" w:color="auto"/>
                            <w:right w:val="none" w:sz="0" w:space="0" w:color="auto"/>
                          </w:divBdr>
                          <w:divsChild>
                            <w:div w:id="1312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2827" TargetMode="External"/><Relationship Id="rId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854</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2016-11-30T19:38:00Z</dcterms:created>
  <dcterms:modified xsi:type="dcterms:W3CDTF">2016-12-01T05:28:00Z</dcterms:modified>
</cp:coreProperties>
</file>