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D5C" w:rsidRDefault="00310D5C" w:rsidP="00310D5C">
      <w:pPr>
        <w:pStyle w:val="a5"/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Corporate action statement</w:t>
      </w:r>
    </w:p>
    <w:p w:rsidR="00310D5C" w:rsidRDefault="00310D5C" w:rsidP="00310D5C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“On decisions adopted by the Issuer’s Board of Directors”</w:t>
      </w:r>
    </w:p>
    <w:p w:rsidR="00310D5C" w:rsidRDefault="00310D5C" w:rsidP="00310D5C">
      <w:pPr>
        <w:pStyle w:val="a5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disclosure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inside information)</w:t>
      </w:r>
    </w:p>
    <w:tbl>
      <w:tblPr>
        <w:tblStyle w:val="a7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310D5C" w:rsidTr="00310D5C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 w:rsidP="00B1076F">
            <w:pPr>
              <w:pStyle w:val="a5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310D5C" w:rsidRPr="005200C0" w:rsidTr="00310D5C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full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310D5C" w:rsidTr="00310D5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310D5C" w:rsidTr="00310D5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Krasnodar, Russian Federation</w:t>
            </w:r>
          </w:p>
        </w:tc>
      </w:tr>
      <w:tr w:rsidR="00310D5C" w:rsidTr="00310D5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1022301427268</w:t>
            </w:r>
          </w:p>
        </w:tc>
      </w:tr>
      <w:tr w:rsidR="00310D5C" w:rsidTr="00310D5C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2309001660</w:t>
            </w:r>
          </w:p>
        </w:tc>
      </w:tr>
      <w:tr w:rsidR="00310D5C" w:rsidTr="00310D5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</w:tr>
      <w:tr w:rsidR="00310D5C" w:rsidRPr="005200C0" w:rsidTr="00310D5C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Web-page for disclosure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6250C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310D5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www.kubanenergo.ru</w:t>
              </w:r>
            </w:hyperlink>
          </w:p>
          <w:p w:rsidR="00310D5C" w:rsidRDefault="006250C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10D5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310D5C" w:rsidTr="00310D5C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before="120"/>
              <w:jc w:val="center"/>
              <w:rPr>
                <w:b/>
                <w:bCs/>
                <w:lang w:val="en-US" w:eastAsia="en-US"/>
              </w:rPr>
            </w:pPr>
            <w:r>
              <w:rPr>
                <w:lang w:val="en-US" w:eastAsia="en-US"/>
              </w:rPr>
              <w:t>2. Statement content</w:t>
            </w:r>
          </w:p>
        </w:tc>
      </w:tr>
      <w:tr w:rsidR="00310D5C" w:rsidRPr="00310D5C" w:rsidTr="00310D5C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tabs>
                <w:tab w:val="left" w:pos="284"/>
              </w:tabs>
              <w:spacing w:before="120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2.1 Quorum of meeting of issuer’s BoD and results of voting on the adopted decisions:</w:t>
            </w:r>
          </w:p>
          <w:p w:rsidR="00310D5C" w:rsidRDefault="00310D5C">
            <w:pPr>
              <w:widowControl w:val="0"/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Number of BoD members: 11 persons</w:t>
            </w:r>
          </w:p>
          <w:p w:rsidR="00310D5C" w:rsidRDefault="00310D5C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Members participated in the meeting: 1</w:t>
            </w:r>
            <w:r w:rsidRPr="00310D5C">
              <w:rPr>
                <w:lang w:val="en-US" w:eastAsia="en-US"/>
              </w:rPr>
              <w:t xml:space="preserve">1 </w:t>
            </w:r>
            <w:r>
              <w:rPr>
                <w:lang w:val="en-US" w:eastAsia="en-US"/>
              </w:rPr>
              <w:t xml:space="preserve">persons </w:t>
            </w:r>
          </w:p>
          <w:p w:rsidR="00310D5C" w:rsidRDefault="00310D5C">
            <w:pPr>
              <w:tabs>
                <w:tab w:val="left" w:pos="284"/>
              </w:tabs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Quorum necessary for holding the meeting of Kubanenergo PJSC Board of Directors is present.</w:t>
            </w:r>
          </w:p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34"/>
              <w:gridCol w:w="1843"/>
              <w:gridCol w:w="1985"/>
              <w:gridCol w:w="2580"/>
            </w:tblGrid>
            <w:tr w:rsidR="00310D5C">
              <w:trPr>
                <w:jc w:val="center"/>
              </w:trPr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D5C" w:rsidRDefault="00310D5C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40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310D5C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10D5C" w:rsidRDefault="00310D5C">
                  <w:pPr>
                    <w:autoSpaceDE/>
                    <w:autoSpaceDN/>
                    <w:rPr>
                      <w:rFonts w:eastAsiaTheme="minorHAnsi"/>
                      <w:lang w:val="en-US" w:eastAsia="en-U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D5C" w:rsidRDefault="00310D5C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0D5C" w:rsidRDefault="00310D5C">
                  <w:pPr>
                    <w:pStyle w:val="a5"/>
                    <w:spacing w:before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310D5C">
              <w:trPr>
                <w:jc w:val="center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 w:rsidP="00B1076F">
                  <w:pPr>
                    <w:pStyle w:val="a5"/>
                    <w:numPr>
                      <w:ilvl w:val="0"/>
                      <w:numId w:val="2"/>
                    </w:num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10D5C" w:rsidRDefault="00310D5C">
                  <w:pPr>
                    <w:pStyle w:val="a5"/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0D5C" w:rsidRPr="005200C0" w:rsidTr="00310D5C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tabs>
                <w:tab w:val="left" w:pos="426"/>
                <w:tab w:val="left" w:pos="993"/>
              </w:tabs>
              <w:spacing w:before="12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 1 “</w:t>
            </w:r>
            <w:r w:rsidRPr="009A48D1">
              <w:rPr>
                <w:b/>
                <w:lang w:val="en-US" w:eastAsia="en-US"/>
              </w:rPr>
              <w:t>On approval of the Programme of consolidation of grid facilities of Kubanenergo PJSC for 2017-2018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310D5C" w:rsidRPr="005200C0" w:rsidTr="00310D5C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2.2.1.  Decision adopted by issuer’s Board of Directors:</w:t>
            </w:r>
          </w:p>
          <w:p w:rsidR="00310D5C" w:rsidRP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To postpone the discussion to a later date</w:t>
            </w:r>
          </w:p>
        </w:tc>
      </w:tr>
      <w:tr w:rsidR="00310D5C" w:rsidRPr="005200C0" w:rsidTr="00310D5C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No.2 “</w:t>
            </w:r>
            <w:r w:rsidRPr="009A48D1">
              <w:rPr>
                <w:b/>
                <w:lang w:val="en-US" w:eastAsia="en-US"/>
              </w:rPr>
              <w:t>On approval of the Procedure for arrangement of sales of non-core assets of Kubanenergo PJSC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2.2.2.  Decision adopted by issuer’s Board of Directors:</w:t>
            </w:r>
          </w:p>
          <w:p w:rsidR="00310D5C" w:rsidRDefault="00310D5C" w:rsidP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1. To approve </w:t>
            </w:r>
            <w:r w:rsidRPr="00310D5C">
              <w:rPr>
                <w:lang w:val="en-US" w:eastAsia="en-US"/>
              </w:rPr>
              <w:t>of the Procedure for arrangement of sales of non-core assets of Kubanenergo PJSC</w:t>
            </w:r>
            <w:r>
              <w:rPr>
                <w:lang w:val="en-US" w:eastAsia="en-US"/>
              </w:rPr>
              <w:t>, in accordance with Annex 1 to this resolution of the BoD.</w:t>
            </w:r>
          </w:p>
          <w:p w:rsidR="00310D5C" w:rsidRDefault="00310D5C" w:rsidP="005200C0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="005200C0" w:rsidRPr="005200C0">
              <w:rPr>
                <w:lang w:val="en-US" w:eastAsia="en-US"/>
              </w:rPr>
              <w:t xml:space="preserve">To consider invalid the </w:t>
            </w:r>
            <w:r w:rsidR="005200C0" w:rsidRPr="00310D5C">
              <w:rPr>
                <w:lang w:val="en-US" w:eastAsia="en-US"/>
              </w:rPr>
              <w:t>Procedure for arrangement of sales of non-core assets of</w:t>
            </w:r>
            <w:r w:rsidR="005200C0" w:rsidRPr="005200C0">
              <w:rPr>
                <w:lang w:val="en-US" w:eastAsia="en-US"/>
              </w:rPr>
              <w:t xml:space="preserve"> </w:t>
            </w:r>
            <w:r w:rsidR="005200C0">
              <w:rPr>
                <w:lang w:val="en-US" w:eastAsia="en-US"/>
              </w:rPr>
              <w:t>the Company</w:t>
            </w:r>
            <w:r w:rsidR="005200C0" w:rsidRPr="005200C0">
              <w:rPr>
                <w:lang w:val="en-US" w:eastAsia="en-US"/>
              </w:rPr>
              <w:t>, approve</w:t>
            </w:r>
            <w:r w:rsidR="005200C0">
              <w:rPr>
                <w:lang w:val="en-US" w:eastAsia="en-US"/>
              </w:rPr>
              <w:t xml:space="preserve">d by the Board of Directors of </w:t>
            </w:r>
            <w:r w:rsidR="005200C0" w:rsidRPr="005200C0">
              <w:rPr>
                <w:lang w:val="en-US" w:eastAsia="en-US"/>
              </w:rPr>
              <w:t>Kubanenergo</w:t>
            </w:r>
            <w:r w:rsidR="005200C0">
              <w:rPr>
                <w:lang w:val="en-US" w:eastAsia="en-US"/>
              </w:rPr>
              <w:t xml:space="preserve"> JSC</w:t>
            </w:r>
            <w:r w:rsidR="005200C0" w:rsidRPr="005200C0">
              <w:rPr>
                <w:lang w:val="en-US" w:eastAsia="en-US"/>
              </w:rPr>
              <w:t xml:space="preserve"> on 20.11.2008 (Minutes of </w:t>
            </w:r>
            <w:r w:rsidR="005200C0">
              <w:rPr>
                <w:lang w:val="en-US" w:eastAsia="en-US"/>
              </w:rPr>
              <w:t>meeting No.</w:t>
            </w:r>
            <w:r w:rsidR="005200C0" w:rsidRPr="005200C0">
              <w:rPr>
                <w:lang w:val="en-US" w:eastAsia="en-US"/>
              </w:rPr>
              <w:t>62/2008</w:t>
            </w:r>
            <w:r w:rsidR="005200C0">
              <w:rPr>
                <w:lang w:val="en-US" w:eastAsia="en-US"/>
              </w:rPr>
              <w:t xml:space="preserve"> dated </w:t>
            </w:r>
            <w:r w:rsidR="005200C0" w:rsidRPr="005200C0">
              <w:rPr>
                <w:lang w:val="en-US" w:eastAsia="en-US"/>
              </w:rPr>
              <w:t>24.11.2008</w:t>
            </w:r>
            <w:r w:rsidR="005200C0" w:rsidRPr="005200C0">
              <w:rPr>
                <w:lang w:val="en-US" w:eastAsia="en-US"/>
              </w:rPr>
              <w:t>).</w:t>
            </w:r>
          </w:p>
          <w:p w:rsidR="005200C0" w:rsidRDefault="005200C0" w:rsidP="005200C0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</w:t>
            </w:r>
            <w:r w:rsidRPr="005200C0">
              <w:rPr>
                <w:lang w:val="en-US" w:eastAsia="en-US"/>
              </w:rPr>
              <w:t xml:space="preserve"> To consider invalid paragraph 2 of resolution of the Board of Directors of Kubanenergo on item 8 </w:t>
            </w:r>
            <w:r>
              <w:rPr>
                <w:lang w:val="en-US" w:eastAsia="en-US"/>
              </w:rPr>
              <w:t>from</w:t>
            </w:r>
            <w:r w:rsidRPr="005200C0">
              <w:rPr>
                <w:lang w:val="en-US" w:eastAsia="en-US"/>
              </w:rPr>
              <w:t xml:space="preserve"> 14.11.2014 (Minutes of </w:t>
            </w:r>
            <w:r>
              <w:rPr>
                <w:lang w:val="en-US" w:eastAsia="en-US"/>
              </w:rPr>
              <w:t xml:space="preserve">meeting No.199/2014 dated </w:t>
            </w:r>
            <w:r w:rsidRPr="005200C0">
              <w:rPr>
                <w:lang w:val="en-US" w:eastAsia="en-US"/>
              </w:rPr>
              <w:t>17.11.2014).</w:t>
            </w:r>
          </w:p>
          <w:p w:rsidR="005200C0" w:rsidRDefault="005200C0" w:rsidP="005200C0">
            <w:pPr>
              <w:spacing w:before="120"/>
              <w:jc w:val="both"/>
              <w:rPr>
                <w:lang w:val="en-US" w:eastAsia="en-US"/>
              </w:rPr>
            </w:pPr>
            <w:r w:rsidRPr="005200C0">
              <w:rPr>
                <w:lang w:val="en-US" w:eastAsia="en-US"/>
              </w:rPr>
              <w:t xml:space="preserve">4. To </w:t>
            </w:r>
            <w:r>
              <w:rPr>
                <w:lang w:val="en-US" w:eastAsia="en-US"/>
              </w:rPr>
              <w:t>decide</w:t>
            </w:r>
            <w:r w:rsidRPr="005200C0">
              <w:rPr>
                <w:lang w:val="en-US" w:eastAsia="en-US"/>
              </w:rPr>
              <w:t xml:space="preserve"> that the transactions relat</w:t>
            </w:r>
            <w:r>
              <w:rPr>
                <w:lang w:val="en-US" w:eastAsia="en-US"/>
              </w:rPr>
              <w:t>ed</w:t>
            </w:r>
            <w:r w:rsidRPr="005200C0">
              <w:rPr>
                <w:lang w:val="en-US" w:eastAsia="en-US"/>
              </w:rPr>
              <w:t xml:space="preserve"> to the disposal of assets, classified in accordance with the law </w:t>
            </w:r>
            <w:r>
              <w:rPr>
                <w:lang w:val="en-US" w:eastAsia="en-US"/>
              </w:rPr>
              <w:t>as</w:t>
            </w:r>
            <w:r w:rsidRPr="005200C0">
              <w:rPr>
                <w:lang w:val="en-US" w:eastAsia="en-US"/>
              </w:rPr>
              <w:t xml:space="preserve"> real estate, construction in progress, the purpose of which is not production, transmission, distribution of electricity and heat </w:t>
            </w:r>
            <w:r>
              <w:rPr>
                <w:lang w:val="en-US" w:eastAsia="en-US"/>
              </w:rPr>
              <w:t xml:space="preserve">energy </w:t>
            </w:r>
            <w:r w:rsidRPr="005200C0">
              <w:rPr>
                <w:lang w:val="en-US" w:eastAsia="en-US"/>
              </w:rPr>
              <w:t xml:space="preserve">shall be taken in accordance with the </w:t>
            </w:r>
            <w:r w:rsidRPr="00310D5C">
              <w:rPr>
                <w:lang w:val="en-US" w:eastAsia="en-US"/>
              </w:rPr>
              <w:t>Procedure for arrangement of sales of non-core assets of Kubanenergo PJSC</w:t>
            </w:r>
            <w:r w:rsidRPr="005200C0">
              <w:rPr>
                <w:lang w:val="en-US" w:eastAsia="en-US"/>
              </w:rPr>
              <w:t xml:space="preserve"> in the new version</w:t>
            </w:r>
            <w:r>
              <w:rPr>
                <w:lang w:val="en-US" w:eastAsia="en-US"/>
              </w:rPr>
              <w:t>, in accordance with Annex 1 to this resolution of the BoD.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No.3 “</w:t>
            </w:r>
            <w:r w:rsidR="005200C0" w:rsidRPr="00D71D3E">
              <w:rPr>
                <w:b/>
                <w:lang w:val="en-US" w:eastAsia="en-US"/>
              </w:rPr>
              <w:t>On taking into consideration report of Director General on expenditures related to preparation and holding the extraordinary general meeting of shareholders on 19 September 2016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Pr="005200C0" w:rsidRDefault="00310D5C">
            <w:pPr>
              <w:spacing w:before="120"/>
              <w:jc w:val="both"/>
              <w:rPr>
                <w:lang w:val="en-US" w:eastAsia="en-US"/>
              </w:rPr>
            </w:pPr>
            <w:r w:rsidRPr="005200C0">
              <w:rPr>
                <w:lang w:val="en-US" w:eastAsia="en-US"/>
              </w:rPr>
              <w:t>2.2.3.  Decision adopted by issuer’s Board of Directors:</w:t>
            </w:r>
          </w:p>
          <w:p w:rsidR="00310D5C" w:rsidRPr="005200C0" w:rsidRDefault="00310D5C" w:rsidP="005200C0">
            <w:pPr>
              <w:spacing w:before="120"/>
              <w:jc w:val="both"/>
              <w:rPr>
                <w:lang w:val="en-US" w:eastAsia="en-US"/>
              </w:rPr>
            </w:pPr>
            <w:r w:rsidRPr="005200C0">
              <w:rPr>
                <w:lang w:val="en-US" w:eastAsia="en-US"/>
              </w:rPr>
              <w:t xml:space="preserve">To </w:t>
            </w:r>
            <w:r w:rsidR="005200C0" w:rsidRPr="005200C0">
              <w:rPr>
                <w:lang w:val="en-US" w:eastAsia="en-US"/>
              </w:rPr>
              <w:t>tak</w:t>
            </w:r>
            <w:r w:rsidR="005200C0" w:rsidRPr="005200C0">
              <w:rPr>
                <w:lang w:val="en-US" w:eastAsia="en-US"/>
              </w:rPr>
              <w:t>e</w:t>
            </w:r>
            <w:r w:rsidR="005200C0" w:rsidRPr="005200C0">
              <w:rPr>
                <w:lang w:val="en-US" w:eastAsia="en-US"/>
              </w:rPr>
              <w:t xml:space="preserve"> into consideration</w:t>
            </w:r>
            <w:r w:rsidR="005200C0">
              <w:rPr>
                <w:lang w:val="en-US" w:eastAsia="en-US"/>
              </w:rPr>
              <w:t xml:space="preserve"> the</w:t>
            </w:r>
            <w:r w:rsidR="005200C0" w:rsidRPr="005200C0">
              <w:rPr>
                <w:lang w:val="en-US" w:eastAsia="en-US"/>
              </w:rPr>
              <w:t xml:space="preserve"> report of Director General on expenditures related to preparation and holding the extraordinary general meeting of shareholders on 19 September 2016</w:t>
            </w:r>
            <w:r w:rsidRPr="005200C0">
              <w:rPr>
                <w:lang w:val="en-US" w:eastAsia="en-US"/>
              </w:rPr>
              <w:t xml:space="preserve">, in accordance with Annex </w:t>
            </w:r>
            <w:r w:rsidR="005200C0" w:rsidRPr="005200C0">
              <w:rPr>
                <w:lang w:val="en-US" w:eastAsia="en-US"/>
              </w:rPr>
              <w:t>2</w:t>
            </w:r>
            <w:r w:rsidRPr="005200C0">
              <w:rPr>
                <w:lang w:val="en-US" w:eastAsia="en-US"/>
              </w:rPr>
              <w:t xml:space="preserve"> to this resolution of the BoD.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No.4 “</w:t>
            </w:r>
            <w:r w:rsidR="005200C0" w:rsidRPr="00D71D3E">
              <w:rPr>
                <w:b/>
                <w:lang w:val="en-US" w:eastAsia="en-US"/>
              </w:rPr>
              <w:t xml:space="preserve">On implementation of resolutions of the BoD adopted on 20.09.2016 on item 3 paragraph 3.1.1 (minutes of meeting No.251/2016 </w:t>
            </w:r>
            <w:proofErr w:type="spellStart"/>
            <w:r w:rsidR="005200C0" w:rsidRPr="00D71D3E">
              <w:rPr>
                <w:b/>
                <w:lang w:val="en-US" w:eastAsia="en-US"/>
              </w:rPr>
              <w:t>dd</w:t>
            </w:r>
            <w:proofErr w:type="spellEnd"/>
            <w:r w:rsidR="005200C0" w:rsidRPr="00D71D3E">
              <w:rPr>
                <w:b/>
                <w:lang w:val="en-US" w:eastAsia="en-US"/>
              </w:rPr>
              <w:t xml:space="preserve"> 23.09.2016)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2.2.4.  Decision adopted by issuer’s Board of Directors:</w:t>
            </w:r>
          </w:p>
          <w:p w:rsidR="00310D5C" w:rsidRDefault="005200C0" w:rsidP="007B20C1">
            <w:pPr>
              <w:spacing w:before="120"/>
              <w:jc w:val="both"/>
              <w:rPr>
                <w:lang w:val="en-US" w:eastAsia="en-US"/>
              </w:rPr>
            </w:pPr>
            <w:r w:rsidRPr="005200C0">
              <w:rPr>
                <w:lang w:val="en-US" w:eastAsia="en-US"/>
              </w:rPr>
              <w:t>To take into consideration</w:t>
            </w:r>
            <w:r>
              <w:rPr>
                <w:lang w:val="en-US" w:eastAsia="en-US"/>
              </w:rPr>
              <w:t xml:space="preserve"> the</w:t>
            </w:r>
            <w:r w:rsidRPr="005200C0">
              <w:rPr>
                <w:lang w:val="en-US" w:eastAsia="en-US"/>
              </w:rPr>
              <w:t xml:space="preserve"> report</w:t>
            </w:r>
            <w:r w:rsidR="007B20C1">
              <w:rPr>
                <w:lang w:val="en-US" w:eastAsia="en-US"/>
              </w:rPr>
              <w:t xml:space="preserve"> </w:t>
            </w:r>
            <w:r w:rsidR="007B20C1" w:rsidRPr="007B20C1">
              <w:rPr>
                <w:lang w:val="en-US" w:eastAsia="en-US"/>
              </w:rPr>
              <w:t xml:space="preserve">on the causes of deviations specified in paragraphs2.3.1. - 2.3.3 </w:t>
            </w:r>
            <w:r w:rsidR="007B20C1">
              <w:rPr>
                <w:lang w:val="en-US" w:eastAsia="en-US"/>
              </w:rPr>
              <w:t xml:space="preserve">of the resolution of the </w:t>
            </w:r>
            <w:r w:rsidR="007B20C1" w:rsidRPr="007B20C1">
              <w:rPr>
                <w:lang w:val="en-US" w:eastAsia="en-US"/>
              </w:rPr>
              <w:t xml:space="preserve">Board of Directors dated 20.09.2016 on item 3 (Minutes of </w:t>
            </w:r>
            <w:r w:rsidR="007B20C1">
              <w:rPr>
                <w:lang w:val="en-US" w:eastAsia="en-US"/>
              </w:rPr>
              <w:t>meeting No.</w:t>
            </w:r>
            <w:r w:rsidR="007B20C1" w:rsidRPr="007B20C1">
              <w:rPr>
                <w:lang w:val="en-US" w:eastAsia="en-US"/>
              </w:rPr>
              <w:t>251/2016</w:t>
            </w:r>
            <w:r w:rsidR="007B20C1">
              <w:rPr>
                <w:lang w:val="en-US" w:eastAsia="en-US"/>
              </w:rPr>
              <w:t xml:space="preserve"> dated </w:t>
            </w:r>
            <w:r w:rsidR="007B20C1" w:rsidRPr="007B20C1">
              <w:rPr>
                <w:lang w:val="en-US" w:eastAsia="en-US"/>
              </w:rPr>
              <w:t>23.09.2016</w:t>
            </w:r>
            <w:r w:rsidR="007B20C1" w:rsidRPr="007B20C1">
              <w:rPr>
                <w:lang w:val="en-US" w:eastAsia="en-US"/>
              </w:rPr>
              <w:t xml:space="preserve">), </w:t>
            </w:r>
            <w:r w:rsidR="007B20C1">
              <w:rPr>
                <w:lang w:val="en-US" w:eastAsia="en-US"/>
              </w:rPr>
              <w:t xml:space="preserve">that occurred during </w:t>
            </w:r>
            <w:r w:rsidR="007B20C1" w:rsidRPr="007B20C1">
              <w:rPr>
                <w:lang w:val="en-US" w:eastAsia="en-US"/>
              </w:rPr>
              <w:t>implementation of the approved investment program</w:t>
            </w:r>
            <w:r w:rsidR="007B20C1">
              <w:rPr>
                <w:lang w:val="en-US" w:eastAsia="en-US"/>
              </w:rPr>
              <w:t>me</w:t>
            </w:r>
            <w:r w:rsidR="007B20C1" w:rsidRPr="007B20C1">
              <w:rPr>
                <w:lang w:val="en-US" w:eastAsia="en-US"/>
              </w:rPr>
              <w:t xml:space="preserve"> of the Company </w:t>
            </w:r>
            <w:r w:rsidR="007B20C1">
              <w:rPr>
                <w:lang w:val="en-US" w:eastAsia="en-US"/>
              </w:rPr>
              <w:t>in</w:t>
            </w:r>
            <w:r w:rsidR="007B20C1" w:rsidRPr="007B20C1">
              <w:rPr>
                <w:lang w:val="en-US" w:eastAsia="en-US"/>
              </w:rPr>
              <w:t xml:space="preserve"> the 2</w:t>
            </w:r>
            <w:r w:rsidR="007B20C1" w:rsidRPr="007B20C1">
              <w:rPr>
                <w:vertAlign w:val="superscript"/>
                <w:lang w:val="en-US" w:eastAsia="en-US"/>
              </w:rPr>
              <w:t>nd</w:t>
            </w:r>
            <w:r w:rsidR="007B20C1">
              <w:rPr>
                <w:lang w:val="en-US" w:eastAsia="en-US"/>
              </w:rPr>
              <w:t xml:space="preserve"> </w:t>
            </w:r>
            <w:r w:rsidR="007B20C1" w:rsidRPr="007B20C1">
              <w:rPr>
                <w:lang w:val="en-US" w:eastAsia="en-US"/>
              </w:rPr>
              <w:t>quarter and 6 months of 2016</w:t>
            </w:r>
            <w:r w:rsidR="007B20C1" w:rsidRPr="005200C0">
              <w:rPr>
                <w:lang w:val="en-US" w:eastAsia="en-US"/>
              </w:rPr>
              <w:t xml:space="preserve">, in accordance with Annex </w:t>
            </w:r>
            <w:r w:rsidR="007B20C1">
              <w:rPr>
                <w:lang w:val="en-US" w:eastAsia="en-US"/>
              </w:rPr>
              <w:t>3</w:t>
            </w:r>
            <w:r w:rsidR="007B20C1" w:rsidRPr="005200C0">
              <w:rPr>
                <w:lang w:val="en-US" w:eastAsia="en-US"/>
              </w:rPr>
              <w:t xml:space="preserve"> to this resolution of the BoD.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No.5 “</w:t>
            </w:r>
            <w:r w:rsidR="007B20C1" w:rsidRPr="00D71D3E">
              <w:rPr>
                <w:b/>
                <w:lang w:val="en-US" w:eastAsia="en-US"/>
              </w:rPr>
              <w:t>On taking into consideration report of Director General on provision of insurance in the 3</w:t>
            </w:r>
            <w:r w:rsidR="007B20C1" w:rsidRPr="00D71D3E">
              <w:rPr>
                <w:b/>
                <w:vertAlign w:val="superscript"/>
                <w:lang w:val="en-US" w:eastAsia="en-US"/>
              </w:rPr>
              <w:t>rd</w:t>
            </w:r>
            <w:r w:rsidR="007B20C1" w:rsidRPr="00D71D3E">
              <w:rPr>
                <w:b/>
                <w:lang w:val="en-US" w:eastAsia="en-US"/>
              </w:rPr>
              <w:t xml:space="preserve"> quarter of 2016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Pr="007B20C1" w:rsidRDefault="00310D5C">
            <w:pPr>
              <w:spacing w:before="120"/>
              <w:jc w:val="both"/>
              <w:rPr>
                <w:lang w:val="en-US" w:eastAsia="en-US"/>
              </w:rPr>
            </w:pPr>
            <w:r w:rsidRPr="007B20C1">
              <w:rPr>
                <w:lang w:val="en-US" w:eastAsia="en-US"/>
              </w:rPr>
              <w:t>2.2.5.  Decision adopted by issuer’s Board of Directors:</w:t>
            </w:r>
          </w:p>
          <w:p w:rsidR="00310D5C" w:rsidRPr="007B20C1" w:rsidRDefault="007B20C1" w:rsidP="007B20C1">
            <w:pPr>
              <w:spacing w:before="120"/>
              <w:jc w:val="both"/>
              <w:rPr>
                <w:lang w:val="en-US" w:eastAsia="en-US"/>
              </w:rPr>
            </w:pPr>
            <w:r w:rsidRPr="007B20C1">
              <w:rPr>
                <w:lang w:val="en-US" w:eastAsia="en-US"/>
              </w:rPr>
              <w:t>To take into consideration the report of Director General on provision of insurance in the 3</w:t>
            </w:r>
            <w:r w:rsidRPr="007B20C1">
              <w:rPr>
                <w:vertAlign w:val="superscript"/>
                <w:lang w:val="en-US" w:eastAsia="en-US"/>
              </w:rPr>
              <w:t>rd</w:t>
            </w:r>
            <w:r w:rsidRPr="007B20C1">
              <w:rPr>
                <w:lang w:val="en-US" w:eastAsia="en-US"/>
              </w:rPr>
              <w:t xml:space="preserve"> quarter of 2016, in accordance with Annex </w:t>
            </w:r>
            <w:r w:rsidRPr="007B20C1">
              <w:rPr>
                <w:lang w:val="en-US" w:eastAsia="en-US"/>
              </w:rPr>
              <w:t>4</w:t>
            </w:r>
            <w:r w:rsidRPr="007B20C1">
              <w:rPr>
                <w:lang w:val="en-US" w:eastAsia="en-US"/>
              </w:rPr>
              <w:t xml:space="preserve"> to this resolution of the BoD.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tabs>
                <w:tab w:val="left" w:pos="426"/>
                <w:tab w:val="left" w:pos="993"/>
              </w:tabs>
              <w:spacing w:before="120"/>
              <w:jc w:val="center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t>Disclosure of insider information on item No.6 “</w:t>
            </w:r>
            <w:r w:rsidR="001C3DE5" w:rsidRPr="00D71D3E">
              <w:rPr>
                <w:b/>
                <w:lang w:val="en-US" w:eastAsia="en-US"/>
              </w:rPr>
              <w:t xml:space="preserve">On introduction of changes to resolutions of the BoD adopted on 27.04.2016 on item 5 paragraph 5 (minutes of meeting No.237/2016 </w:t>
            </w:r>
            <w:proofErr w:type="spellStart"/>
            <w:r w:rsidR="001C3DE5" w:rsidRPr="00D71D3E">
              <w:rPr>
                <w:b/>
                <w:lang w:val="en-US" w:eastAsia="en-US"/>
              </w:rPr>
              <w:t>dd</w:t>
            </w:r>
            <w:proofErr w:type="spellEnd"/>
            <w:r w:rsidR="001C3DE5" w:rsidRPr="00D71D3E">
              <w:rPr>
                <w:b/>
                <w:lang w:val="en-US" w:eastAsia="en-US"/>
              </w:rPr>
              <w:t xml:space="preserve"> 28.04.2016)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2.2.6.  Decision adopted by issuer’s Board of Directors:</w:t>
            </w:r>
          </w:p>
          <w:p w:rsidR="001C3DE5" w:rsidRPr="001C3DE5" w:rsidRDefault="001C3DE5" w:rsidP="001C3DE5">
            <w:pPr>
              <w:spacing w:before="120"/>
              <w:jc w:val="both"/>
              <w:rPr>
                <w:lang w:val="en-US" w:eastAsia="en-US"/>
              </w:rPr>
            </w:pPr>
            <w:r w:rsidRPr="001C3DE5">
              <w:rPr>
                <w:lang w:val="en-US" w:eastAsia="en-US"/>
              </w:rPr>
              <w:t>To amend the decision of the Board of Directors of  Kubanenergo PJSC</w:t>
            </w:r>
            <w:r>
              <w:rPr>
                <w:lang w:val="en-US" w:eastAsia="en-US"/>
              </w:rPr>
              <w:t xml:space="preserve"> </w:t>
            </w:r>
            <w:r w:rsidRPr="001C3DE5">
              <w:rPr>
                <w:lang w:val="en-US" w:eastAsia="en-US"/>
              </w:rPr>
              <w:t>on paragraph 5 of item 5 (Minutes of meeting No. 237/2016) 28.04.2016 as follows:</w:t>
            </w:r>
          </w:p>
          <w:p w:rsidR="00310D5C" w:rsidRDefault="001C3DE5" w:rsidP="001C3DE5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“</w:t>
            </w:r>
            <w:r w:rsidRPr="001C3DE5">
              <w:rPr>
                <w:lang w:val="en-US" w:eastAsia="en-US"/>
              </w:rPr>
              <w:t xml:space="preserve">To recommend </w:t>
            </w:r>
            <w:proofErr w:type="gramStart"/>
            <w:r>
              <w:rPr>
                <w:lang w:val="en-US" w:eastAsia="en-US"/>
              </w:rPr>
              <w:t>to submit</w:t>
            </w:r>
            <w:proofErr w:type="gramEnd"/>
            <w:r w:rsidRPr="001C3DE5">
              <w:rPr>
                <w:lang w:val="en-US" w:eastAsia="en-US"/>
              </w:rPr>
              <w:t xml:space="preserve"> information on risk management, that </w:t>
            </w:r>
            <w:r w:rsidRPr="001C3DE5">
              <w:rPr>
                <w:lang w:val="en-US" w:eastAsia="en-US"/>
              </w:rPr>
              <w:t>occurred</w:t>
            </w:r>
            <w:r w:rsidRPr="001C3DE5">
              <w:rPr>
                <w:lang w:val="en-US" w:eastAsia="en-US"/>
              </w:rPr>
              <w:t xml:space="preserve"> in 2015, on a quarterly basis at the meetings of the Management Board as part of </w:t>
            </w:r>
            <w:r>
              <w:rPr>
                <w:lang w:val="en-US" w:eastAsia="en-US"/>
              </w:rPr>
              <w:t xml:space="preserve">report on implementation of </w:t>
            </w:r>
            <w:r w:rsidRPr="001C3DE5">
              <w:rPr>
                <w:lang w:val="en-US" w:eastAsia="en-US"/>
              </w:rPr>
              <w:t>the business plan for the first 9 months of 2016 and for 2016".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b/>
                <w:lang w:val="en-US" w:eastAsia="en-US"/>
              </w:rPr>
              <w:lastRenderedPageBreak/>
              <w:t>Disclosure of insider information on item No.7 “</w:t>
            </w:r>
            <w:r w:rsidR="001C3DE5" w:rsidRPr="00D71D3E">
              <w:rPr>
                <w:b/>
                <w:lang w:val="en-US" w:eastAsia="en-US"/>
              </w:rPr>
              <w:t>On approval of budgets for the Committees of Kubanenergo BoD</w:t>
            </w:r>
            <w:r>
              <w:rPr>
                <w:b/>
                <w:lang w:val="en-US" w:eastAsia="en-US"/>
              </w:rPr>
              <w:t>”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2.2.7.  Decision adopted by issuer’s Board of Directors:</w:t>
            </w:r>
          </w:p>
          <w:p w:rsidR="00310D5C" w:rsidRPr="006E644D" w:rsidRDefault="001C3DE5" w:rsidP="006E644D">
            <w:pPr>
              <w:jc w:val="both"/>
            </w:pPr>
            <w:r w:rsidRPr="006E644D">
              <w:t xml:space="preserve">1.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approve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budget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="008A040D" w:rsidRPr="006E644D">
              <w:t>the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Audit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Committee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under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the</w:t>
            </w:r>
            <w:proofErr w:type="spellEnd"/>
            <w:r w:rsidR="008A040D" w:rsidRPr="006E644D">
              <w:t xml:space="preserve"> BoD </w:t>
            </w:r>
            <w:proofErr w:type="spellStart"/>
            <w:r w:rsidR="008A040D" w:rsidRPr="006E644D">
              <w:t>of</w:t>
            </w:r>
            <w:proofErr w:type="spellEnd"/>
            <w:r w:rsidR="008A040D" w:rsidRPr="006E644D">
              <w:t xml:space="preserve"> Kubanenergo PJSC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second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quarter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2016, </w:t>
            </w:r>
            <w:proofErr w:type="spellStart"/>
            <w:r w:rsidRPr="006E644D">
              <w:t>in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accordance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with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Annex</w:t>
            </w:r>
            <w:proofErr w:type="spellEnd"/>
            <w:r w:rsidRPr="006E644D">
              <w:t xml:space="preserve"> 5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this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resolution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BoD</w:t>
            </w:r>
          </w:p>
          <w:p w:rsidR="001C3DE5" w:rsidRPr="006E644D" w:rsidRDefault="001C3DE5" w:rsidP="006E644D">
            <w:pPr>
              <w:jc w:val="both"/>
            </w:pPr>
            <w:r w:rsidRPr="006E644D">
              <w:t xml:space="preserve">2.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approve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budget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="008A040D" w:rsidRPr="006E644D">
              <w:t>the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Committee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for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Strategy</w:t>
            </w:r>
            <w:proofErr w:type="spellEnd"/>
            <w:r w:rsidR="008A040D" w:rsidRPr="006E644D">
              <w:t xml:space="preserve">, </w:t>
            </w:r>
            <w:proofErr w:type="spellStart"/>
            <w:r w:rsidR="008A040D" w:rsidRPr="006E644D">
              <w:t>Development</w:t>
            </w:r>
            <w:proofErr w:type="spellEnd"/>
            <w:r w:rsidR="008A040D" w:rsidRPr="006E644D">
              <w:t xml:space="preserve">, </w:t>
            </w:r>
            <w:proofErr w:type="spellStart"/>
            <w:r w:rsidR="008A040D" w:rsidRPr="006E644D">
              <w:t>Investment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and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Reforming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under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the</w:t>
            </w:r>
            <w:proofErr w:type="spellEnd"/>
            <w:r w:rsidR="008A040D" w:rsidRPr="006E644D">
              <w:t xml:space="preserve"> BoD </w:t>
            </w:r>
            <w:proofErr w:type="spellStart"/>
            <w:r w:rsidR="008A040D" w:rsidRPr="006E644D">
              <w:t>of</w:t>
            </w:r>
            <w:proofErr w:type="spellEnd"/>
            <w:r w:rsidR="008A040D" w:rsidRPr="006E644D">
              <w:t xml:space="preserve"> Kubanenergo PJSC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second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quarter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2016, </w:t>
            </w:r>
            <w:proofErr w:type="spellStart"/>
            <w:r w:rsidRPr="006E644D">
              <w:t>in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accordance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with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Annex</w:t>
            </w:r>
            <w:proofErr w:type="spellEnd"/>
            <w:r w:rsidRPr="006E644D">
              <w:t xml:space="preserve"> 6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this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resolution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BoD</w:t>
            </w:r>
          </w:p>
          <w:p w:rsidR="001C3DE5" w:rsidRPr="006E644D" w:rsidRDefault="001C3DE5" w:rsidP="006E644D">
            <w:pPr>
              <w:jc w:val="both"/>
            </w:pPr>
            <w:r w:rsidRPr="006E644D">
              <w:t xml:space="preserve">3.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approve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budget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for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the</w:t>
            </w:r>
            <w:proofErr w:type="spellEnd"/>
            <w:r w:rsidRPr="006E644D">
              <w:t xml:space="preserve"> </w:t>
            </w:r>
            <w:proofErr w:type="spellStart"/>
            <w:r w:rsidR="008A040D" w:rsidRPr="006E644D">
              <w:t>Reliability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Committee</w:t>
            </w:r>
            <w:proofErr w:type="spellEnd"/>
            <w:r w:rsidR="008A040D" w:rsidRPr="006E644D">
              <w:t xml:space="preserve"> </w:t>
            </w:r>
            <w:proofErr w:type="spellStart"/>
            <w:r w:rsidR="006E644D" w:rsidRPr="006E644D">
              <w:t>under</w:t>
            </w:r>
            <w:proofErr w:type="spellEnd"/>
            <w:r w:rsidR="006E644D" w:rsidRPr="006E644D">
              <w:t xml:space="preserve"> </w:t>
            </w:r>
            <w:proofErr w:type="spellStart"/>
            <w:r w:rsidR="006E644D" w:rsidRPr="006E644D">
              <w:t>the</w:t>
            </w:r>
            <w:proofErr w:type="spellEnd"/>
            <w:r w:rsidR="006E644D" w:rsidRPr="006E644D">
              <w:t xml:space="preserve"> BoD </w:t>
            </w:r>
            <w:proofErr w:type="spellStart"/>
            <w:r w:rsidR="006E644D" w:rsidRPr="006E644D">
              <w:t>of</w:t>
            </w:r>
            <w:proofErr w:type="spellEnd"/>
            <w:r w:rsidR="006E644D" w:rsidRPr="006E644D">
              <w:t xml:space="preserve"> Kubanenergo PJSC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second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quarter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2016, </w:t>
            </w:r>
            <w:proofErr w:type="spellStart"/>
            <w:r w:rsidRPr="006E644D">
              <w:t>in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accordance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with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Annex</w:t>
            </w:r>
            <w:proofErr w:type="spellEnd"/>
            <w:r w:rsidRPr="006E644D">
              <w:t xml:space="preserve"> 7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this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resolution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BoD</w:t>
            </w:r>
          </w:p>
          <w:p w:rsidR="001C3DE5" w:rsidRPr="006E644D" w:rsidRDefault="001C3DE5" w:rsidP="006E644D">
            <w:pPr>
              <w:jc w:val="both"/>
            </w:pPr>
            <w:r w:rsidRPr="006E644D">
              <w:t xml:space="preserve">4.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approve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budget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for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the</w:t>
            </w:r>
            <w:proofErr w:type="spellEnd"/>
            <w:r w:rsidRPr="006E644D">
              <w:t xml:space="preserve"> </w:t>
            </w:r>
            <w:proofErr w:type="spellStart"/>
            <w:r w:rsidR="008A040D" w:rsidRPr="006E644D">
              <w:t>Personnel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and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Remuneration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Committee</w:t>
            </w:r>
            <w:proofErr w:type="spellEnd"/>
            <w:r w:rsidR="008A040D" w:rsidRPr="006E644D">
              <w:t xml:space="preserve"> </w:t>
            </w:r>
            <w:proofErr w:type="spellStart"/>
            <w:r w:rsidR="006E644D" w:rsidRPr="006E644D">
              <w:t>under</w:t>
            </w:r>
            <w:proofErr w:type="spellEnd"/>
            <w:r w:rsidR="006E644D" w:rsidRPr="006E644D">
              <w:t xml:space="preserve"> </w:t>
            </w:r>
            <w:proofErr w:type="spellStart"/>
            <w:r w:rsidR="006E644D" w:rsidRPr="006E644D">
              <w:t>the</w:t>
            </w:r>
            <w:proofErr w:type="spellEnd"/>
            <w:r w:rsidR="006E644D" w:rsidRPr="006E644D">
              <w:t xml:space="preserve"> BoD </w:t>
            </w:r>
            <w:proofErr w:type="spellStart"/>
            <w:r w:rsidR="006E644D" w:rsidRPr="006E644D">
              <w:t>of</w:t>
            </w:r>
            <w:proofErr w:type="spellEnd"/>
            <w:r w:rsidR="006E644D" w:rsidRPr="006E644D">
              <w:t xml:space="preserve"> Kubanenergo PJSC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second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quarter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2016, </w:t>
            </w:r>
            <w:proofErr w:type="spellStart"/>
            <w:r w:rsidRPr="006E644D">
              <w:t>in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accordance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with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Annex</w:t>
            </w:r>
            <w:proofErr w:type="spellEnd"/>
            <w:r w:rsidRPr="006E644D">
              <w:t xml:space="preserve"> 8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this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resolution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BoD</w:t>
            </w:r>
          </w:p>
          <w:p w:rsidR="001C3DE5" w:rsidRDefault="001C3DE5" w:rsidP="006E644D">
            <w:pPr>
              <w:jc w:val="both"/>
              <w:rPr>
                <w:lang w:val="en-US"/>
              </w:rPr>
            </w:pPr>
            <w:r w:rsidRPr="006E644D">
              <w:t xml:space="preserve">5. 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approve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budget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="008A040D" w:rsidRPr="006E644D">
              <w:t>the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Committee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for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Technological</w:t>
            </w:r>
            <w:proofErr w:type="spellEnd"/>
            <w:r w:rsidR="008A040D" w:rsidRPr="006E644D">
              <w:t xml:space="preserve"> </w:t>
            </w:r>
            <w:proofErr w:type="spellStart"/>
            <w:r w:rsidR="008A040D" w:rsidRPr="006E644D">
              <w:t>Connection</w:t>
            </w:r>
            <w:proofErr w:type="spellEnd"/>
            <w:r w:rsidR="006E644D" w:rsidRPr="006E644D">
              <w:t xml:space="preserve"> </w:t>
            </w:r>
            <w:proofErr w:type="spellStart"/>
            <w:r w:rsidR="006E644D" w:rsidRPr="006E644D">
              <w:t>under</w:t>
            </w:r>
            <w:proofErr w:type="spellEnd"/>
            <w:r w:rsidR="006E644D" w:rsidRPr="006E644D">
              <w:t xml:space="preserve"> </w:t>
            </w:r>
            <w:proofErr w:type="spellStart"/>
            <w:r w:rsidR="006E644D" w:rsidRPr="006E644D">
              <w:t>the</w:t>
            </w:r>
            <w:proofErr w:type="spellEnd"/>
            <w:r w:rsidR="006E644D" w:rsidRPr="006E644D">
              <w:t xml:space="preserve"> BoD </w:t>
            </w:r>
            <w:proofErr w:type="spellStart"/>
            <w:r w:rsidR="006E644D" w:rsidRPr="006E644D">
              <w:t>of</w:t>
            </w:r>
            <w:proofErr w:type="spellEnd"/>
            <w:r w:rsidR="006E644D" w:rsidRPr="006E644D">
              <w:t xml:space="preserve"> Kubanenergo PJSC</w:t>
            </w:r>
            <w:r w:rsidR="008A040D" w:rsidRPr="006E644D">
              <w:t xml:space="preserve"> </w:t>
            </w:r>
            <w:proofErr w:type="spellStart"/>
            <w:r w:rsidRPr="006E644D">
              <w:t>for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second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quarter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2016, </w:t>
            </w:r>
            <w:proofErr w:type="spellStart"/>
            <w:r w:rsidRPr="006E644D">
              <w:t>in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accordance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with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Annex</w:t>
            </w:r>
            <w:proofErr w:type="spellEnd"/>
            <w:r w:rsidRPr="006E644D">
              <w:t xml:space="preserve"> 9 </w:t>
            </w:r>
            <w:proofErr w:type="spellStart"/>
            <w:r w:rsidRPr="006E644D">
              <w:t>to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this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resolution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of</w:t>
            </w:r>
            <w:proofErr w:type="spellEnd"/>
            <w:r w:rsidRPr="006E644D">
              <w:t xml:space="preserve"> </w:t>
            </w:r>
            <w:proofErr w:type="spellStart"/>
            <w:r w:rsidRPr="006E644D">
              <w:t>the</w:t>
            </w:r>
            <w:proofErr w:type="spellEnd"/>
            <w:r w:rsidRPr="006E644D">
              <w:t xml:space="preserve"> BoD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Pr="006E644D" w:rsidRDefault="00310D5C" w:rsidP="006250C7">
            <w:pPr>
              <w:spacing w:before="120"/>
              <w:jc w:val="both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Disclosure of insider information on item No.8 “On </w:t>
            </w:r>
            <w:r w:rsidR="006E644D">
              <w:rPr>
                <w:b/>
                <w:lang w:val="en-US" w:eastAsia="en-US"/>
              </w:rPr>
              <w:t>d</w:t>
            </w:r>
            <w:r w:rsidR="006E644D" w:rsidRPr="006E644D">
              <w:rPr>
                <w:b/>
                <w:lang w:val="en-US" w:eastAsia="en-US"/>
              </w:rPr>
              <w:t xml:space="preserve">etermination of the </w:t>
            </w:r>
            <w:r w:rsidR="006E644D">
              <w:rPr>
                <w:b/>
                <w:lang w:val="en-US" w:eastAsia="en-US"/>
              </w:rPr>
              <w:t xml:space="preserve">Company’s opinion </w:t>
            </w:r>
            <w:r w:rsidR="006E644D" w:rsidRPr="006E644D">
              <w:rPr>
                <w:b/>
                <w:lang w:val="en-US" w:eastAsia="en-US"/>
              </w:rPr>
              <w:t xml:space="preserve">on agenda of the meeting of the </w:t>
            </w:r>
            <w:proofErr w:type="spellStart"/>
            <w:r w:rsidR="006E644D">
              <w:rPr>
                <w:b/>
                <w:lang w:val="en-US" w:eastAsia="en-US"/>
              </w:rPr>
              <w:t>BoDs</w:t>
            </w:r>
            <w:proofErr w:type="spellEnd"/>
            <w:r w:rsidR="006250C7">
              <w:rPr>
                <w:b/>
                <w:lang w:val="en-US" w:eastAsia="en-US"/>
              </w:rPr>
              <w:t xml:space="preserve"> </w:t>
            </w:r>
            <w:r w:rsidR="006E644D">
              <w:rPr>
                <w:b/>
                <w:lang w:val="en-US" w:eastAsia="en-US"/>
              </w:rPr>
              <w:t xml:space="preserve">of </w:t>
            </w:r>
            <w:r w:rsidR="006E644D" w:rsidRPr="006E644D">
              <w:rPr>
                <w:b/>
                <w:lang w:val="en-US" w:eastAsia="en-US"/>
              </w:rPr>
              <w:t>subsidiar</w:t>
            </w:r>
            <w:r w:rsidR="006E644D">
              <w:rPr>
                <w:b/>
                <w:lang w:val="en-US" w:eastAsia="en-US"/>
              </w:rPr>
              <w:t>y</w:t>
            </w:r>
            <w:r w:rsidR="006E644D" w:rsidRPr="006E644D">
              <w:rPr>
                <w:b/>
                <w:lang w:val="en-US" w:eastAsia="en-US"/>
              </w:rPr>
              <w:t xml:space="preserve"> and affiliat</w:t>
            </w:r>
            <w:r w:rsidR="006E644D">
              <w:rPr>
                <w:b/>
                <w:lang w:val="en-US" w:eastAsia="en-US"/>
              </w:rPr>
              <w:t>e</w:t>
            </w:r>
            <w:r w:rsidR="006250C7">
              <w:rPr>
                <w:b/>
                <w:lang w:val="en-US" w:eastAsia="en-US"/>
              </w:rPr>
              <w:t xml:space="preserve"> </w:t>
            </w:r>
            <w:r w:rsidR="006E644D" w:rsidRPr="006E644D">
              <w:rPr>
                <w:b/>
                <w:lang w:val="en-US" w:eastAsia="en-US"/>
              </w:rPr>
              <w:t xml:space="preserve">of  Kubanenergo PJSC </w:t>
            </w:r>
            <w:r w:rsidR="006E644D">
              <w:rPr>
                <w:b/>
                <w:lang w:val="en-US" w:eastAsia="en-US"/>
              </w:rPr>
              <w:t>–“</w:t>
            </w:r>
            <w:r w:rsidR="006E644D" w:rsidRPr="006E644D">
              <w:rPr>
                <w:b/>
                <w:lang w:val="en-US" w:eastAsia="en-US"/>
              </w:rPr>
              <w:t>Energoservi</w:t>
            </w:r>
            <w:r w:rsidR="006E644D">
              <w:rPr>
                <w:b/>
                <w:lang w:val="en-US" w:eastAsia="en-US"/>
              </w:rPr>
              <w:t>s Kuban”</w:t>
            </w:r>
            <w:r w:rsidR="006250C7">
              <w:rPr>
                <w:b/>
                <w:lang w:val="en-US" w:eastAsia="en-US"/>
              </w:rPr>
              <w:t xml:space="preserve"> JSC</w:t>
            </w:r>
          </w:p>
        </w:tc>
      </w:tr>
      <w:tr w:rsidR="00310D5C" w:rsidRPr="005200C0" w:rsidTr="00310D5C">
        <w:trPr>
          <w:trHeight w:val="699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5C" w:rsidRPr="006250C7" w:rsidRDefault="00310D5C">
            <w:pPr>
              <w:spacing w:before="120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2.2.8.  </w:t>
            </w:r>
            <w:r w:rsidRPr="006250C7">
              <w:rPr>
                <w:lang w:val="en-US" w:eastAsia="en-US"/>
              </w:rPr>
              <w:t>Decision adopted by issuer’s Board of Directors:</w:t>
            </w:r>
          </w:p>
          <w:p w:rsidR="006250C7" w:rsidRPr="006250C7" w:rsidRDefault="006250C7" w:rsidP="006250C7">
            <w:pPr>
              <w:jc w:val="both"/>
              <w:rPr>
                <w:lang w:val="en-US" w:eastAsia="en-US"/>
              </w:rPr>
            </w:pPr>
            <w:r w:rsidRPr="006250C7">
              <w:rPr>
                <w:lang w:val="en-US" w:eastAsia="en-US"/>
              </w:rPr>
              <w:t>To i</w:t>
            </w:r>
            <w:r w:rsidRPr="006250C7">
              <w:rPr>
                <w:lang w:val="en-US" w:eastAsia="en-US"/>
              </w:rPr>
              <w:t>nstruct representatives of Kubanenergo</w:t>
            </w:r>
            <w:r w:rsidRPr="006250C7">
              <w:rPr>
                <w:lang w:val="en-US" w:eastAsia="en-US"/>
              </w:rPr>
              <w:t xml:space="preserve"> PJSC</w:t>
            </w:r>
            <w:r w:rsidRPr="006250C7">
              <w:rPr>
                <w:lang w:val="en-US" w:eastAsia="en-US"/>
              </w:rPr>
              <w:t xml:space="preserve"> in the Board of Directors of “Energoservis Kuban” JSC on the agenda </w:t>
            </w:r>
            <w:r w:rsidRPr="006250C7">
              <w:rPr>
                <w:lang w:val="en-US" w:eastAsia="en-US"/>
              </w:rPr>
              <w:t>“</w:t>
            </w:r>
            <w:r w:rsidRPr="006250C7">
              <w:rPr>
                <w:lang w:val="en-US" w:eastAsia="en-US"/>
              </w:rPr>
              <w:t>On early termination of powers of the Acting General Director of the Company and election of the Director General of the Company</w:t>
            </w:r>
            <w:r w:rsidRPr="006250C7">
              <w:rPr>
                <w:lang w:val="en-US" w:eastAsia="en-US"/>
              </w:rPr>
              <w:t>”</w:t>
            </w:r>
            <w:r w:rsidRPr="006250C7">
              <w:rPr>
                <w:lang w:val="en-US" w:eastAsia="en-US"/>
              </w:rPr>
              <w:t xml:space="preserve"> to vote "FOR" the following decision:</w:t>
            </w:r>
          </w:p>
          <w:p w:rsidR="006250C7" w:rsidRPr="006250C7" w:rsidRDefault="006250C7" w:rsidP="006250C7">
            <w:pPr>
              <w:pStyle w:val="a6"/>
              <w:numPr>
                <w:ilvl w:val="0"/>
                <w:numId w:val="5"/>
              </w:numPr>
              <w:jc w:val="both"/>
              <w:rPr>
                <w:lang w:val="en-US" w:eastAsia="en-US"/>
              </w:rPr>
            </w:pPr>
            <w:r w:rsidRPr="006250C7">
              <w:rPr>
                <w:lang w:val="en-US" w:eastAsia="en-US"/>
              </w:rPr>
              <w:t>To terminate the powers of the Acting Director General of the Company</w:t>
            </w:r>
            <w:r w:rsidRPr="006250C7">
              <w:rPr>
                <w:lang w:val="en-US" w:eastAsia="en-US"/>
              </w:rPr>
              <w:t xml:space="preserve"> –</w:t>
            </w:r>
            <w:r w:rsidRPr="006250C7">
              <w:rPr>
                <w:lang w:val="en-US" w:eastAsia="en-US"/>
              </w:rPr>
              <w:t xml:space="preserve"> </w:t>
            </w:r>
            <w:proofErr w:type="spellStart"/>
            <w:r w:rsidRPr="006250C7">
              <w:rPr>
                <w:lang w:val="en-US" w:eastAsia="en-US"/>
              </w:rPr>
              <w:t>Loza</w:t>
            </w:r>
            <w:proofErr w:type="spellEnd"/>
            <w:r w:rsidRPr="006250C7">
              <w:rPr>
                <w:lang w:val="en-US" w:eastAsia="en-US"/>
              </w:rPr>
              <w:t xml:space="preserve"> Andrei </w:t>
            </w:r>
            <w:proofErr w:type="spellStart"/>
            <w:r w:rsidRPr="006250C7">
              <w:rPr>
                <w:lang w:val="en-US" w:eastAsia="en-US"/>
              </w:rPr>
              <w:t>Alexandrovich</w:t>
            </w:r>
            <w:proofErr w:type="spellEnd"/>
            <w:r w:rsidRPr="006250C7">
              <w:rPr>
                <w:lang w:val="en-US" w:eastAsia="en-US"/>
              </w:rPr>
              <w:t xml:space="preserve"> and the employment contract with him </w:t>
            </w:r>
            <w:r w:rsidRPr="006250C7">
              <w:rPr>
                <w:lang w:val="en-US" w:eastAsia="en-US"/>
              </w:rPr>
              <w:t xml:space="preserve">on </w:t>
            </w:r>
            <w:r w:rsidRPr="006250C7">
              <w:rPr>
                <w:lang w:val="en-US" w:eastAsia="en-US"/>
              </w:rPr>
              <w:t>30</w:t>
            </w:r>
            <w:r w:rsidRPr="006250C7">
              <w:rPr>
                <w:lang w:val="en-US" w:eastAsia="en-US"/>
              </w:rPr>
              <w:t>.</w:t>
            </w:r>
            <w:r w:rsidRPr="006250C7">
              <w:rPr>
                <w:lang w:val="en-US" w:eastAsia="en-US"/>
              </w:rPr>
              <w:t>11</w:t>
            </w:r>
            <w:r w:rsidRPr="006250C7">
              <w:rPr>
                <w:lang w:val="en-US" w:eastAsia="en-US"/>
              </w:rPr>
              <w:t>.</w:t>
            </w:r>
            <w:r w:rsidRPr="006250C7">
              <w:rPr>
                <w:lang w:val="en-US" w:eastAsia="en-US"/>
              </w:rPr>
              <w:t>2016.</w:t>
            </w:r>
          </w:p>
          <w:p w:rsidR="00310D5C" w:rsidRPr="006250C7" w:rsidRDefault="006250C7" w:rsidP="006250C7">
            <w:pPr>
              <w:pStyle w:val="a6"/>
              <w:numPr>
                <w:ilvl w:val="0"/>
                <w:numId w:val="5"/>
              </w:numPr>
              <w:jc w:val="both"/>
              <w:rPr>
                <w:lang w:val="en-US" w:eastAsia="en-US"/>
              </w:rPr>
            </w:pPr>
            <w:r w:rsidRPr="006250C7">
              <w:rPr>
                <w:lang w:val="en-US" w:eastAsia="en-US"/>
              </w:rPr>
              <w:t xml:space="preserve">To elect the Director General of the </w:t>
            </w:r>
            <w:r w:rsidRPr="006250C7">
              <w:rPr>
                <w:lang w:val="en-US" w:eastAsia="en-US"/>
              </w:rPr>
              <w:t>Company</w:t>
            </w:r>
            <w:bookmarkStart w:id="0" w:name="_GoBack"/>
            <w:bookmarkEnd w:id="0"/>
            <w:r w:rsidRPr="006250C7">
              <w:rPr>
                <w:lang w:val="en-US" w:eastAsia="en-US"/>
              </w:rPr>
              <w:t xml:space="preserve"> of </w:t>
            </w:r>
            <w:proofErr w:type="spellStart"/>
            <w:r w:rsidRPr="006250C7">
              <w:rPr>
                <w:lang w:val="en-US" w:eastAsia="en-US"/>
              </w:rPr>
              <w:t>Lebedev</w:t>
            </w:r>
            <w:proofErr w:type="spellEnd"/>
            <w:r w:rsidRPr="006250C7">
              <w:rPr>
                <w:lang w:val="en-US" w:eastAsia="en-US"/>
              </w:rPr>
              <w:t xml:space="preserve"> Vladimir </w:t>
            </w:r>
            <w:proofErr w:type="spellStart"/>
            <w:r w:rsidRPr="006250C7">
              <w:rPr>
                <w:lang w:val="en-US" w:eastAsia="en-US"/>
              </w:rPr>
              <w:t>Alexandrovich</w:t>
            </w:r>
            <w:proofErr w:type="spellEnd"/>
            <w:r w:rsidRPr="006250C7">
              <w:rPr>
                <w:lang w:val="en-US" w:eastAsia="en-US"/>
              </w:rPr>
              <w:t xml:space="preserve"> from </w:t>
            </w:r>
            <w:r>
              <w:rPr>
                <w:lang w:val="en-US" w:eastAsia="en-US"/>
              </w:rPr>
              <w:t>01</w:t>
            </w:r>
            <w:r w:rsidRPr="006250C7">
              <w:rPr>
                <w:lang w:val="en-US" w:eastAsia="en-US"/>
              </w:rPr>
              <w:t>.</w:t>
            </w:r>
            <w:r>
              <w:rPr>
                <w:lang w:val="en-US" w:eastAsia="en-US"/>
              </w:rPr>
              <w:t>12</w:t>
            </w:r>
            <w:r w:rsidRPr="006250C7">
              <w:rPr>
                <w:lang w:val="en-US" w:eastAsia="en-US"/>
              </w:rPr>
              <w:t>.</w:t>
            </w:r>
            <w:r w:rsidRPr="006250C7">
              <w:rPr>
                <w:lang w:val="en-US" w:eastAsia="en-US"/>
              </w:rPr>
              <w:t>2016 to 07</w:t>
            </w:r>
            <w:r w:rsidRPr="006250C7">
              <w:rPr>
                <w:lang w:val="en-US" w:eastAsia="en-US"/>
              </w:rPr>
              <w:t>.</w:t>
            </w:r>
            <w:r w:rsidRPr="006250C7">
              <w:rPr>
                <w:lang w:val="en-US" w:eastAsia="en-US"/>
              </w:rPr>
              <w:t>03</w:t>
            </w:r>
            <w:r w:rsidRPr="006250C7">
              <w:rPr>
                <w:lang w:val="en-US" w:eastAsia="en-US"/>
              </w:rPr>
              <w:t>.</w:t>
            </w:r>
            <w:r w:rsidRPr="006250C7">
              <w:rPr>
                <w:lang w:val="en-US" w:eastAsia="en-US"/>
              </w:rPr>
              <w:t>2019 inclusive</w:t>
            </w:r>
            <w:r w:rsidRPr="006250C7">
              <w:rPr>
                <w:lang w:val="en-US" w:eastAsia="en-US"/>
              </w:rPr>
              <w:t>.</w:t>
            </w:r>
          </w:p>
        </w:tc>
      </w:tr>
      <w:tr w:rsidR="00310D5C" w:rsidRPr="005200C0" w:rsidTr="00310D5C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5C" w:rsidRDefault="00310D5C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2.3. Date of holding the meeting of Board of Directors: </w:t>
            </w:r>
            <w:r w:rsidR="0062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November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</w:t>
            </w:r>
          </w:p>
          <w:p w:rsidR="00310D5C" w:rsidRDefault="00310D5C" w:rsidP="006250C7">
            <w:pPr>
              <w:pStyle w:val="a5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2.4. Date of making and number of minutes of meeting: </w:t>
            </w:r>
            <w:r w:rsidR="0062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November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2016, minutes of meeting No.25</w:t>
            </w:r>
            <w:r w:rsidR="006250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/2016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310D5C" w:rsidTr="00310D5C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10D5C" w:rsidRDefault="00310D5C">
            <w:pPr>
              <w:spacing w:before="12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3. Signature</w:t>
            </w:r>
          </w:p>
        </w:tc>
      </w:tr>
      <w:tr w:rsidR="00310D5C" w:rsidTr="00310D5C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10D5C" w:rsidRDefault="00310D5C">
            <w:pPr>
              <w:pStyle w:val="Default"/>
              <w:spacing w:before="120" w:line="256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Shareholders Relations Department (by power of attorney No. 1-847 dated 27.05.2016)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10D5C" w:rsidRDefault="00310D5C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</w:t>
            </w:r>
          </w:p>
          <w:p w:rsidR="00310D5C" w:rsidRDefault="00310D5C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0D5C" w:rsidRDefault="00310D5C">
            <w:pPr>
              <w:spacing w:before="120" w:line="25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Ivanova</w:t>
            </w:r>
            <w:proofErr w:type="spellEnd"/>
            <w:r>
              <w:rPr>
                <w:lang w:val="en-US" w:eastAsia="en-US"/>
              </w:rPr>
              <w:t xml:space="preserve"> I.V.</w:t>
            </w:r>
          </w:p>
          <w:p w:rsidR="00310D5C" w:rsidRDefault="00310D5C">
            <w:pPr>
              <w:spacing w:before="120" w:line="256" w:lineRule="auto"/>
              <w:rPr>
                <w:lang w:val="en-US" w:eastAsia="en-US"/>
              </w:rPr>
            </w:pPr>
          </w:p>
        </w:tc>
      </w:tr>
      <w:tr w:rsidR="00310D5C" w:rsidTr="00310D5C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10D5C" w:rsidRDefault="00310D5C" w:rsidP="006250C7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3.2 Date: </w:t>
            </w:r>
            <w:r w:rsidR="006250C7">
              <w:rPr>
                <w:lang w:val="en-US" w:eastAsia="en-US"/>
              </w:rPr>
              <w:t>21 November</w:t>
            </w:r>
            <w:r>
              <w:rPr>
                <w:lang w:val="en-US" w:eastAsia="en-US"/>
              </w:rPr>
              <w:t xml:space="preserve"> 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310D5C" w:rsidRDefault="00310D5C">
            <w:pPr>
              <w:spacing w:before="120"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10D5C" w:rsidRDefault="00310D5C">
            <w:pPr>
              <w:spacing w:before="120" w:line="256" w:lineRule="auto"/>
              <w:rPr>
                <w:lang w:val="en-US" w:eastAsia="en-US"/>
              </w:rPr>
            </w:pPr>
          </w:p>
        </w:tc>
      </w:tr>
    </w:tbl>
    <w:p w:rsidR="00310D5C" w:rsidRDefault="00310D5C" w:rsidP="00310D5C">
      <w:pPr>
        <w:spacing w:before="120"/>
      </w:pPr>
    </w:p>
    <w:p w:rsidR="00310D5C" w:rsidRDefault="00310D5C" w:rsidP="00310D5C">
      <w:pPr>
        <w:spacing w:before="120"/>
        <w:rPr>
          <w:lang w:val="en-US"/>
        </w:rPr>
      </w:pPr>
    </w:p>
    <w:p w:rsidR="00310D5C" w:rsidRDefault="00310D5C" w:rsidP="00310D5C">
      <w:pPr>
        <w:spacing w:before="120"/>
      </w:pPr>
    </w:p>
    <w:p w:rsidR="00310D5C" w:rsidRDefault="00310D5C" w:rsidP="00310D5C">
      <w:pPr>
        <w:spacing w:before="120"/>
      </w:pPr>
    </w:p>
    <w:p w:rsidR="00310D5C" w:rsidRDefault="00310D5C" w:rsidP="00310D5C">
      <w:pPr>
        <w:spacing w:before="120"/>
      </w:pPr>
    </w:p>
    <w:p w:rsidR="00310D5C" w:rsidRDefault="00310D5C" w:rsidP="00310D5C">
      <w:pPr>
        <w:spacing w:before="120"/>
      </w:pPr>
    </w:p>
    <w:p w:rsidR="00246B95" w:rsidRDefault="00246B95"/>
    <w:sectPr w:rsidR="0024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4F5A"/>
    <w:multiLevelType w:val="hybridMultilevel"/>
    <w:tmpl w:val="0C7C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2028D"/>
    <w:multiLevelType w:val="multilevel"/>
    <w:tmpl w:val="EF4E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A79AA"/>
    <w:multiLevelType w:val="hybridMultilevel"/>
    <w:tmpl w:val="22F2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6D814856"/>
    <w:multiLevelType w:val="hybridMultilevel"/>
    <w:tmpl w:val="7A440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5C"/>
    <w:rsid w:val="001C3DE5"/>
    <w:rsid w:val="00246B95"/>
    <w:rsid w:val="00310D5C"/>
    <w:rsid w:val="005200C0"/>
    <w:rsid w:val="006250C7"/>
    <w:rsid w:val="006E644D"/>
    <w:rsid w:val="007B20C1"/>
    <w:rsid w:val="008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5DD2B-C106-467C-B06F-BEBD64CD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D5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0D5C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10D5C"/>
  </w:style>
  <w:style w:type="paragraph" w:styleId="a5">
    <w:name w:val="No Spacing"/>
    <w:link w:val="a4"/>
    <w:uiPriority w:val="1"/>
    <w:qFormat/>
    <w:rsid w:val="00310D5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10D5C"/>
    <w:pPr>
      <w:ind w:left="720"/>
      <w:contextualSpacing/>
    </w:pPr>
  </w:style>
  <w:style w:type="paragraph" w:customStyle="1" w:styleId="Default">
    <w:name w:val="Default"/>
    <w:rsid w:val="00310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310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9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2016-11-23T20:09:00Z</dcterms:created>
  <dcterms:modified xsi:type="dcterms:W3CDTF">2016-11-24T00:50:00Z</dcterms:modified>
</cp:coreProperties>
</file>