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E78" w:rsidRPr="00E5631F" w:rsidRDefault="00E87E78" w:rsidP="00E87E78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631F">
        <w:rPr>
          <w:rFonts w:ascii="Times New Roman" w:hAnsi="Times New Roman" w:cs="Times New Roman"/>
          <w:b/>
          <w:sz w:val="24"/>
          <w:szCs w:val="24"/>
          <w:lang w:val="en-US"/>
        </w:rPr>
        <w:t>Statement</w:t>
      </w:r>
    </w:p>
    <w:p w:rsidR="00E87E78" w:rsidRPr="00E5631F" w:rsidRDefault="007270E6" w:rsidP="00E87E78">
      <w:pPr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E87E78" w:rsidRPr="00E5631F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proofErr w:type="gramEnd"/>
      <w:r w:rsidR="00E87E78" w:rsidRPr="00E56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procedure of access to insider information contained in the document of a person/entity regarded as insider</w:t>
      </w:r>
    </w:p>
    <w:p w:rsidR="00E87E78" w:rsidRPr="00E5631F" w:rsidRDefault="00E87E78" w:rsidP="00E87E78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4099"/>
        <w:gridCol w:w="5705"/>
      </w:tblGrid>
      <w:tr w:rsidR="00D92B8A" w:rsidRPr="00E5631F" w:rsidTr="00E5631F"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E5631F" w:rsidRDefault="00E87E78" w:rsidP="00E8043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D92B8A" w:rsidRPr="00E5631F" w:rsidTr="00E5631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E5631F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E5631F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D92B8A" w:rsidRPr="00E5631F" w:rsidTr="00E5631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E5631F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E5631F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>“Kubanenerg</w:t>
            </w:r>
            <w:bookmarkStart w:id="0" w:name="_GoBack"/>
            <w:bookmarkEnd w:id="0"/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>o” PJSC</w:t>
            </w:r>
          </w:p>
        </w:tc>
      </w:tr>
      <w:tr w:rsidR="00D92B8A" w:rsidRPr="00E5631F" w:rsidTr="00E5631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E5631F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E5631F" w:rsidRDefault="00E5631F" w:rsidP="00E5631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Krasnodar, Russian Federation </w:t>
            </w:r>
          </w:p>
        </w:tc>
      </w:tr>
      <w:tr w:rsidR="00D92B8A" w:rsidRPr="00E5631F" w:rsidTr="00E5631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E5631F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E5631F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D92B8A" w:rsidRPr="00E5631F" w:rsidTr="00E5631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E5631F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E5631F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D92B8A" w:rsidRPr="00E5631F" w:rsidTr="00E5631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E5631F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</w:t>
            </w:r>
            <w:r w:rsidRPr="00E5631F">
              <w:rPr>
                <w:rFonts w:ascii="Times New Roman" w:hAnsi="Times New Roman"/>
                <w:sz w:val="24"/>
                <w:szCs w:val="24"/>
                <w:lang w:val="en-GB"/>
              </w:rPr>
              <w:t>Issuer</w:t>
            </w: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  <w:r w:rsidRPr="00E5631F">
              <w:rPr>
                <w:rFonts w:ascii="Times New Roman" w:hAnsi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E5631F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>00063-</w:t>
            </w:r>
            <w:r w:rsidRPr="00E5631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92B8A" w:rsidRPr="00E5631F" w:rsidTr="00E5631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E5631F" w:rsidRDefault="00E87E78" w:rsidP="00E87E78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</w:t>
            </w:r>
            <w:r w:rsidRPr="00E5631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Web-page provided by one of the information distributors at the securities market on the Internet, as well as web-page on the Internet, the electronic address of which includes a domain name, the rights whereupon belong to the issuer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1F" w:rsidRPr="00E5631F" w:rsidRDefault="00E5631F" w:rsidP="00E8043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" w:history="1">
              <w:r w:rsidRPr="00E5631F">
                <w:rPr>
                  <w:rStyle w:val="a3"/>
                  <w:sz w:val="24"/>
                  <w:szCs w:val="24"/>
                  <w:lang w:val="en-US" w:eastAsia="ru-RU"/>
                </w:rPr>
                <w:t>http://www.kubanenergo.ru</w:t>
              </w:r>
            </w:hyperlink>
          </w:p>
          <w:p w:rsidR="00E87E78" w:rsidRPr="00E5631F" w:rsidRDefault="00E5631F" w:rsidP="00E8043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Pr="00E5631F">
                <w:rPr>
                  <w:rStyle w:val="a3"/>
                  <w:sz w:val="24"/>
                  <w:szCs w:val="24"/>
                  <w:lang w:val="en-US" w:eastAsia="ru-RU"/>
                </w:rPr>
                <w:t>http</w:t>
              </w:r>
              <w:r w:rsidRPr="00E5631F">
                <w:rPr>
                  <w:rStyle w:val="a3"/>
                  <w:sz w:val="24"/>
                  <w:szCs w:val="24"/>
                  <w:lang w:eastAsia="ru-RU"/>
                </w:rPr>
                <w:t>://</w:t>
              </w:r>
              <w:r w:rsidRPr="00E5631F">
                <w:rPr>
                  <w:rStyle w:val="a3"/>
                  <w:sz w:val="24"/>
                  <w:szCs w:val="24"/>
                  <w:lang w:val="en-US" w:eastAsia="ru-RU"/>
                </w:rPr>
                <w:t>www</w:t>
              </w:r>
              <w:r w:rsidRPr="00E5631F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Pr="00E5631F">
                <w:rPr>
                  <w:rStyle w:val="a3"/>
                  <w:sz w:val="24"/>
                  <w:szCs w:val="24"/>
                  <w:lang w:val="en-US" w:eastAsia="ru-RU"/>
                </w:rPr>
                <w:t>e</w:t>
              </w:r>
              <w:r w:rsidRPr="00E5631F">
                <w:rPr>
                  <w:rStyle w:val="a3"/>
                  <w:sz w:val="24"/>
                  <w:szCs w:val="24"/>
                  <w:lang w:eastAsia="ru-RU"/>
                </w:rPr>
                <w:t>-</w:t>
              </w:r>
              <w:r w:rsidRPr="00E5631F">
                <w:rPr>
                  <w:rStyle w:val="a3"/>
                  <w:sz w:val="24"/>
                  <w:szCs w:val="24"/>
                  <w:lang w:val="en-US" w:eastAsia="ru-RU"/>
                </w:rPr>
                <w:t>disclosure</w:t>
              </w:r>
              <w:r w:rsidRPr="00E5631F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5631F">
                <w:rPr>
                  <w:rStyle w:val="a3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E5631F">
                <w:rPr>
                  <w:rStyle w:val="a3"/>
                  <w:sz w:val="24"/>
                  <w:szCs w:val="24"/>
                  <w:lang w:eastAsia="ru-RU"/>
                </w:rPr>
                <w:t>/</w:t>
              </w:r>
              <w:r w:rsidRPr="00E5631F">
                <w:rPr>
                  <w:rStyle w:val="a3"/>
                  <w:sz w:val="24"/>
                  <w:szCs w:val="24"/>
                  <w:lang w:val="en-US" w:eastAsia="ru-RU"/>
                </w:rPr>
                <w:t>portal</w:t>
              </w:r>
              <w:r w:rsidRPr="00E5631F">
                <w:rPr>
                  <w:rStyle w:val="a3"/>
                  <w:sz w:val="24"/>
                  <w:szCs w:val="24"/>
                  <w:lang w:eastAsia="ru-RU"/>
                </w:rPr>
                <w:t>/</w:t>
              </w:r>
              <w:r w:rsidRPr="00E5631F">
                <w:rPr>
                  <w:rStyle w:val="a3"/>
                  <w:sz w:val="24"/>
                  <w:szCs w:val="24"/>
                  <w:lang w:val="en-US" w:eastAsia="ru-RU"/>
                </w:rPr>
                <w:t>company</w:t>
              </w:r>
              <w:r w:rsidRPr="00E5631F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5631F">
                <w:rPr>
                  <w:rStyle w:val="a3"/>
                  <w:sz w:val="24"/>
                  <w:szCs w:val="24"/>
                  <w:lang w:val="en-US" w:eastAsia="ru-RU"/>
                </w:rPr>
                <w:t>aspx</w:t>
              </w:r>
              <w:proofErr w:type="spellEnd"/>
              <w:r w:rsidRPr="00E5631F">
                <w:rPr>
                  <w:rStyle w:val="a3"/>
                  <w:sz w:val="24"/>
                  <w:szCs w:val="24"/>
                  <w:lang w:eastAsia="ru-RU"/>
                </w:rPr>
                <w:t>?</w:t>
              </w:r>
              <w:r w:rsidRPr="00E5631F">
                <w:rPr>
                  <w:rStyle w:val="a3"/>
                  <w:sz w:val="24"/>
                  <w:szCs w:val="24"/>
                  <w:lang w:val="en-US" w:eastAsia="ru-RU"/>
                </w:rPr>
                <w:t>id</w:t>
              </w:r>
              <w:r w:rsidRPr="00E5631F">
                <w:rPr>
                  <w:rStyle w:val="a3"/>
                  <w:sz w:val="24"/>
                  <w:szCs w:val="24"/>
                  <w:lang w:eastAsia="ru-RU"/>
                </w:rPr>
                <w:t>=2827</w:t>
              </w:r>
            </w:hyperlink>
            <w:r w:rsidR="00E87E78" w:rsidRPr="00E563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2B8A" w:rsidRPr="00E5631F" w:rsidTr="00E5631F"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E5631F" w:rsidRDefault="00E87E78" w:rsidP="00E804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Statement content</w:t>
            </w:r>
          </w:p>
        </w:tc>
      </w:tr>
      <w:tr w:rsidR="00D92B8A" w:rsidRPr="00E5631F" w:rsidTr="00E5631F"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E5631F" w:rsidRDefault="00E87E78" w:rsidP="00E87E78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2.1. </w:t>
            </w:r>
            <w:r w:rsidRPr="00E5631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Type of the document that contains information to which the access </w:t>
            </w:r>
            <w:proofErr w:type="gramStart"/>
            <w:r w:rsidRPr="00E5631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is granted</w:t>
            </w:r>
            <w:proofErr w:type="gramEnd"/>
            <w:r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92B8A" w:rsidRPr="00E563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Exchange-traded bonds programme</w:t>
            </w:r>
            <w:r w:rsidRPr="00E563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Securities Prospectus.</w:t>
            </w:r>
          </w:p>
          <w:p w:rsidR="00E87E78" w:rsidRPr="00E5631F" w:rsidRDefault="00E87E78" w:rsidP="00E80439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2.2. </w:t>
            </w:r>
            <w:r w:rsidRPr="00E56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Type, category, series and other identification features of the placed securities: </w:t>
            </w:r>
            <w:r w:rsidR="00D92B8A"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non-convertible interest-bearing certified bearer bonds subject to mandatory deposit with total nominal amount of all bonds</w:t>
            </w:r>
            <w:r w:rsidR="00E5631F"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placed under the bonds programed series 002R,</w:t>
            </w:r>
            <w:r w:rsidR="00D92B8A"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equaling to maximum </w:t>
            </w:r>
            <w:r w:rsidR="00E5631F"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25 000 000 000</w:t>
            </w:r>
            <w:r w:rsidR="00D92B8A"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E5631F"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twenty five</w:t>
            </w:r>
            <w:r w:rsidR="00D92B8A"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billion) rubles inclusive and with maturity on longer than </w:t>
            </w:r>
            <w:r w:rsidR="00E5631F"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10 920</w:t>
            </w:r>
            <w:r w:rsidR="00E5631F" w:rsidRPr="00E5631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E5631F"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92B8A"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E5631F"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</w:t>
            </w:r>
            <w:r w:rsidR="00D92B8A"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thousand </w:t>
            </w:r>
            <w:r w:rsidR="00E5631F"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none</w:t>
            </w:r>
            <w:r w:rsidR="00D92B8A"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hundred </w:t>
            </w:r>
            <w:r w:rsidR="00E5631F"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twentieth</w:t>
            </w:r>
            <w:r w:rsidR="00D92B8A"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day from the date of placement of exchange-traded bonds of separate issue placed under the </w:t>
            </w:r>
            <w:r w:rsidR="00E5631F"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exchange-traded bonds programme, offered by public subscription.</w:t>
            </w:r>
            <w:proofErr w:type="gramEnd"/>
          </w:p>
          <w:p w:rsidR="00D92B8A" w:rsidRPr="00E5631F" w:rsidRDefault="00D92B8A" w:rsidP="00D92B8A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 Date of publishing the</w:t>
            </w:r>
            <w:r w:rsidRPr="00E563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Exchange-traded bonds programme and Securities Prospectus on the Internet webpage used by the issuer for disclosure of insider information: </w:t>
            </w:r>
            <w:r w:rsidR="00E5631F"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 October 2016</w:t>
            </w:r>
            <w:r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D92B8A" w:rsidRPr="00E5631F" w:rsidRDefault="00D92B8A" w:rsidP="00E5631F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 Webpages with published texts of Exchange-traded bonds programme and Securities Prospectus:</w:t>
            </w:r>
            <w:r w:rsidR="00E5631F"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Pr="00E5631F">
                <w:rPr>
                  <w:rStyle w:val="a3"/>
                  <w:color w:val="auto"/>
                  <w:sz w:val="24"/>
                  <w:szCs w:val="24"/>
                  <w:lang w:val="en-US"/>
                </w:rPr>
                <w:t>http://www.kubanenergo.ru</w:t>
              </w:r>
            </w:hyperlink>
            <w:r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hyperlink r:id="rId8" w:history="1">
              <w:r w:rsidRPr="00E5631F">
                <w:rPr>
                  <w:rStyle w:val="a3"/>
                  <w:color w:val="auto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</w:tbl>
    <w:tbl>
      <w:tblPr>
        <w:tblW w:w="10065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552"/>
        <w:gridCol w:w="2268"/>
      </w:tblGrid>
      <w:tr w:rsidR="00E5631F" w:rsidRPr="00E5631F" w:rsidTr="00E5631F">
        <w:trPr>
          <w:cantSplit/>
          <w:trHeight w:val="8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5631F" w:rsidRPr="00E5631F" w:rsidRDefault="00E5631F" w:rsidP="0058674B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5631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E5631F" w:rsidRPr="00E5631F" w:rsidTr="00E5631F">
        <w:trPr>
          <w:cantSplit/>
          <w:trHeight w:val="11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5631F" w:rsidRPr="00E5631F" w:rsidRDefault="00E5631F" w:rsidP="0058674B">
            <w:pPr>
              <w:pStyle w:val="Default"/>
              <w:spacing w:line="254" w:lineRule="auto"/>
              <w:rPr>
                <w:lang w:val="en-US"/>
              </w:rPr>
            </w:pPr>
            <w:r w:rsidRPr="00E5631F">
              <w:rPr>
                <w:lang w:val="en-US"/>
              </w:rPr>
              <w:t>3.1 Deputy Director General in charge of Corporate Governance (by power of attorney No.1-847 dated 25.05.2016)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5631F" w:rsidRPr="00E5631F" w:rsidRDefault="00E5631F" w:rsidP="00E5631F">
            <w:pPr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5631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_______________</w:t>
            </w:r>
          </w:p>
          <w:p w:rsidR="00E5631F" w:rsidRPr="00E5631F" w:rsidRDefault="00E5631F" w:rsidP="0058674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5631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5631F" w:rsidRPr="00E5631F" w:rsidRDefault="00E5631F" w:rsidP="0058674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E5631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Ivanova</w:t>
            </w:r>
            <w:proofErr w:type="spellEnd"/>
            <w:r w:rsidRPr="00E5631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I.V.</w:t>
            </w:r>
          </w:p>
          <w:p w:rsidR="00E5631F" w:rsidRPr="00E5631F" w:rsidRDefault="00E5631F" w:rsidP="0058674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5631F" w:rsidRPr="00E5631F" w:rsidTr="00E5631F">
        <w:trPr>
          <w:cantSplit/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5631F" w:rsidRPr="00E5631F" w:rsidRDefault="00E5631F" w:rsidP="00E5631F">
            <w:pPr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5631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3.2 Date: 25 October 2016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5631F" w:rsidRPr="00E5631F" w:rsidRDefault="00E5631F" w:rsidP="0058674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5631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5631F" w:rsidRPr="00E5631F" w:rsidRDefault="00E5631F" w:rsidP="0058674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E5631F" w:rsidRPr="00E5631F" w:rsidRDefault="00E5631F" w:rsidP="00E5631F">
      <w:pPr>
        <w:rPr>
          <w:rFonts w:ascii="Times New Roman" w:hAnsi="Times New Roman" w:cs="Times New Roman"/>
          <w:sz w:val="24"/>
          <w:szCs w:val="24"/>
        </w:rPr>
      </w:pPr>
    </w:p>
    <w:p w:rsidR="00E87E78" w:rsidRPr="00E5631F" w:rsidRDefault="00E87E78" w:rsidP="00E87E78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87E78" w:rsidRPr="00E5631F" w:rsidRDefault="00E87E78" w:rsidP="00E87E7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87E78" w:rsidRPr="00E5631F" w:rsidRDefault="00E87E78" w:rsidP="00E87E7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87E78" w:rsidRPr="00E5631F" w:rsidRDefault="00E87E78" w:rsidP="00E87E7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87E78" w:rsidRPr="00E5631F" w:rsidRDefault="00E87E78" w:rsidP="00E87E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87E78" w:rsidRPr="00E5631F" w:rsidRDefault="00E87E78" w:rsidP="00E87E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48AA" w:rsidRPr="00E5631F" w:rsidRDefault="007E48AA">
      <w:pPr>
        <w:rPr>
          <w:rFonts w:ascii="Times New Roman" w:hAnsi="Times New Roman" w:cs="Times New Roman"/>
          <w:sz w:val="24"/>
          <w:szCs w:val="24"/>
        </w:rPr>
      </w:pPr>
    </w:p>
    <w:sectPr w:rsidR="007E48AA" w:rsidRPr="00E5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78"/>
    <w:rsid w:val="007270E6"/>
    <w:rsid w:val="007E48AA"/>
    <w:rsid w:val="00D92B8A"/>
    <w:rsid w:val="00E5631F"/>
    <w:rsid w:val="00E8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9018B-1580-4839-99E9-63B93F3E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E7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E78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E87E78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E87E7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56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2016-10-26T06:47:00Z</dcterms:created>
  <dcterms:modified xsi:type="dcterms:W3CDTF">2016-10-26T06:48:00Z</dcterms:modified>
</cp:coreProperties>
</file>