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9C" w:rsidRDefault="004C019C" w:rsidP="004C019C">
      <w:pPr>
        <w:jc w:val="center"/>
        <w:rPr>
          <w:b/>
          <w:bCs/>
          <w:szCs w:val="22"/>
        </w:rPr>
      </w:pPr>
    </w:p>
    <w:p w:rsidR="004C019C" w:rsidRPr="004C019C" w:rsidRDefault="004C019C" w:rsidP="004C019C">
      <w:pPr>
        <w:adjustRightInd w:val="0"/>
        <w:jc w:val="center"/>
        <w:rPr>
          <w:b/>
          <w:bCs/>
          <w:szCs w:val="22"/>
          <w:lang w:val="en-US" w:eastAsia="ru-RU"/>
        </w:rPr>
      </w:pPr>
      <w:r w:rsidRPr="004C019C">
        <w:rPr>
          <w:b/>
          <w:sz w:val="24"/>
          <w:szCs w:val="24"/>
          <w:lang w:val="en-US"/>
        </w:rPr>
        <w:t>Corporate Action Statement</w:t>
      </w:r>
      <w:r w:rsidRPr="004C019C">
        <w:rPr>
          <w:b/>
          <w:bCs/>
          <w:szCs w:val="22"/>
          <w:lang w:val="en-US" w:eastAsia="ru-RU"/>
        </w:rPr>
        <w:br/>
      </w:r>
      <w:bookmarkStart w:id="0" w:name="_GoBack"/>
      <w:r w:rsidRPr="004C019C">
        <w:rPr>
          <w:b/>
          <w:sz w:val="24"/>
          <w:szCs w:val="24"/>
          <w:lang w:val="en-US"/>
        </w:rPr>
        <w:t>On stages of the issuer's equity securities issuance procedure</w:t>
      </w:r>
      <w:bookmarkEnd w:id="0"/>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974"/>
        <w:gridCol w:w="4284"/>
      </w:tblGrid>
      <w:tr w:rsidR="004C019C" w:rsidRPr="00D440D5" w:rsidTr="00CF5B0B">
        <w:tblPrEx>
          <w:tblCellMar>
            <w:top w:w="0" w:type="dxa"/>
            <w:bottom w:w="0" w:type="dxa"/>
          </w:tblCellMar>
        </w:tblPrEx>
        <w:tc>
          <w:tcPr>
            <w:tcW w:w="10375" w:type="dxa"/>
            <w:gridSpan w:val="3"/>
          </w:tcPr>
          <w:p w:rsidR="004C019C" w:rsidRPr="00D440D5" w:rsidRDefault="004C019C" w:rsidP="00CF5B0B">
            <w:pPr>
              <w:jc w:val="center"/>
              <w:rPr>
                <w:szCs w:val="22"/>
              </w:rPr>
            </w:pPr>
            <w:r w:rsidRPr="00A765F2">
              <w:rPr>
                <w:sz w:val="24"/>
                <w:szCs w:val="24"/>
              </w:rPr>
              <w:t xml:space="preserve">1. </w:t>
            </w:r>
            <w:r w:rsidRPr="00A765F2">
              <w:rPr>
                <w:sz w:val="24"/>
                <w:szCs w:val="24"/>
                <w:lang w:val="en-US"/>
              </w:rPr>
              <w:t>General data</w:t>
            </w:r>
          </w:p>
        </w:tc>
      </w:tr>
      <w:tr w:rsidR="004C019C" w:rsidRPr="004C019C" w:rsidTr="00483F4A">
        <w:tblPrEx>
          <w:tblCellMar>
            <w:top w:w="0" w:type="dxa"/>
            <w:bottom w:w="0" w:type="dxa"/>
          </w:tblCellMar>
        </w:tblPrEx>
        <w:tc>
          <w:tcPr>
            <w:tcW w:w="5117" w:type="dxa"/>
          </w:tcPr>
          <w:p w:rsidR="004C019C" w:rsidRPr="00A765F2" w:rsidRDefault="004C019C" w:rsidP="004C019C">
            <w:pPr>
              <w:pStyle w:val="a4"/>
              <w:jc w:val="both"/>
              <w:rPr>
                <w:sz w:val="24"/>
                <w:szCs w:val="24"/>
              </w:rPr>
            </w:pPr>
            <w:r w:rsidRPr="00A765F2">
              <w:rPr>
                <w:sz w:val="24"/>
                <w:szCs w:val="24"/>
              </w:rPr>
              <w:t>1.1 Issuer’s</w:t>
            </w:r>
            <w:r w:rsidRPr="00A765F2">
              <w:rPr>
                <w:sz w:val="24"/>
                <w:szCs w:val="24"/>
                <w:lang w:val="en-US"/>
              </w:rPr>
              <w:t xml:space="preserve"> full name</w:t>
            </w:r>
          </w:p>
        </w:tc>
        <w:tc>
          <w:tcPr>
            <w:tcW w:w="5258" w:type="dxa"/>
            <w:gridSpan w:val="2"/>
          </w:tcPr>
          <w:p w:rsidR="004C019C" w:rsidRPr="00A765F2" w:rsidRDefault="004C019C" w:rsidP="004C019C">
            <w:pPr>
              <w:pStyle w:val="a4"/>
              <w:jc w:val="both"/>
              <w:rPr>
                <w:sz w:val="24"/>
                <w:szCs w:val="24"/>
                <w:lang w:val="en-US"/>
              </w:rPr>
            </w:pPr>
            <w:r w:rsidRPr="00A765F2">
              <w:rPr>
                <w:sz w:val="24"/>
                <w:szCs w:val="24"/>
                <w:lang w:val="en-US"/>
              </w:rPr>
              <w:t>Public joint-stock company of Power and Electrification of Kuban</w:t>
            </w:r>
          </w:p>
        </w:tc>
      </w:tr>
      <w:tr w:rsidR="004C019C" w:rsidRPr="00D440D5" w:rsidTr="00483F4A">
        <w:tblPrEx>
          <w:tblCellMar>
            <w:top w:w="0" w:type="dxa"/>
            <w:bottom w:w="0" w:type="dxa"/>
          </w:tblCellMar>
        </w:tblPrEx>
        <w:tc>
          <w:tcPr>
            <w:tcW w:w="5117" w:type="dxa"/>
          </w:tcPr>
          <w:p w:rsidR="004C019C" w:rsidRPr="00A765F2" w:rsidRDefault="004C019C" w:rsidP="004C019C">
            <w:pPr>
              <w:pStyle w:val="a4"/>
              <w:jc w:val="both"/>
              <w:rPr>
                <w:sz w:val="24"/>
                <w:szCs w:val="24"/>
              </w:rPr>
            </w:pPr>
            <w:r w:rsidRPr="00A765F2">
              <w:rPr>
                <w:sz w:val="24"/>
                <w:szCs w:val="24"/>
              </w:rPr>
              <w:t xml:space="preserve">1.2. </w:t>
            </w:r>
            <w:r w:rsidRPr="00A765F2">
              <w:rPr>
                <w:sz w:val="24"/>
                <w:szCs w:val="24"/>
                <w:lang w:val="en-US"/>
              </w:rPr>
              <w:t>Issuer</w:t>
            </w:r>
            <w:r w:rsidRPr="00A765F2">
              <w:rPr>
                <w:sz w:val="24"/>
                <w:szCs w:val="24"/>
              </w:rPr>
              <w:t>’</w:t>
            </w:r>
            <w:r w:rsidRPr="00A765F2">
              <w:rPr>
                <w:sz w:val="24"/>
                <w:szCs w:val="24"/>
                <w:lang w:val="en-US"/>
              </w:rPr>
              <w:t>s short name</w:t>
            </w:r>
          </w:p>
        </w:tc>
        <w:tc>
          <w:tcPr>
            <w:tcW w:w="5258" w:type="dxa"/>
            <w:gridSpan w:val="2"/>
          </w:tcPr>
          <w:p w:rsidR="004C019C" w:rsidRPr="00A765F2" w:rsidRDefault="004C019C" w:rsidP="004C019C">
            <w:pPr>
              <w:pStyle w:val="a4"/>
              <w:jc w:val="both"/>
              <w:rPr>
                <w:sz w:val="24"/>
                <w:szCs w:val="24"/>
              </w:rPr>
            </w:pPr>
            <w:r w:rsidRPr="00A765F2">
              <w:rPr>
                <w:sz w:val="24"/>
                <w:szCs w:val="24"/>
                <w:lang w:val="en-US"/>
              </w:rPr>
              <w:t>“Kubanenergo” PJSC</w:t>
            </w:r>
          </w:p>
        </w:tc>
      </w:tr>
      <w:tr w:rsidR="004C019C" w:rsidRPr="004C019C" w:rsidTr="00483F4A">
        <w:tblPrEx>
          <w:tblCellMar>
            <w:top w:w="0" w:type="dxa"/>
            <w:bottom w:w="0" w:type="dxa"/>
          </w:tblCellMar>
        </w:tblPrEx>
        <w:tc>
          <w:tcPr>
            <w:tcW w:w="5117" w:type="dxa"/>
          </w:tcPr>
          <w:p w:rsidR="004C019C" w:rsidRPr="00A765F2" w:rsidRDefault="004C019C" w:rsidP="004C019C">
            <w:pPr>
              <w:pStyle w:val="a4"/>
              <w:jc w:val="both"/>
              <w:rPr>
                <w:sz w:val="24"/>
                <w:szCs w:val="24"/>
                <w:lang w:val="en-US"/>
              </w:rPr>
            </w:pPr>
            <w:r w:rsidRPr="00A765F2">
              <w:rPr>
                <w:sz w:val="24"/>
                <w:szCs w:val="24"/>
              </w:rPr>
              <w:t xml:space="preserve">1.3. </w:t>
            </w:r>
            <w:r w:rsidRPr="00A765F2">
              <w:rPr>
                <w:sz w:val="24"/>
                <w:szCs w:val="24"/>
                <w:lang w:val="en-US"/>
              </w:rPr>
              <w:t>Issuer’s location</w:t>
            </w:r>
          </w:p>
        </w:tc>
        <w:tc>
          <w:tcPr>
            <w:tcW w:w="5258" w:type="dxa"/>
            <w:gridSpan w:val="2"/>
          </w:tcPr>
          <w:p w:rsidR="004C019C" w:rsidRPr="00A765F2" w:rsidRDefault="004C019C" w:rsidP="004C019C">
            <w:pPr>
              <w:jc w:val="both"/>
              <w:rPr>
                <w:sz w:val="24"/>
                <w:szCs w:val="24"/>
                <w:lang w:val="en-US"/>
              </w:rPr>
            </w:pPr>
            <w:r w:rsidRPr="00A765F2">
              <w:rPr>
                <w:sz w:val="24"/>
                <w:szCs w:val="24"/>
                <w:lang w:val="en-US"/>
              </w:rPr>
              <w:t>2A, Stavropolskaya str., Krasnodar, Russian federation, 350033</w:t>
            </w:r>
          </w:p>
        </w:tc>
      </w:tr>
      <w:tr w:rsidR="004C019C" w:rsidRPr="00D440D5" w:rsidTr="00483F4A">
        <w:tblPrEx>
          <w:tblCellMar>
            <w:top w:w="0" w:type="dxa"/>
            <w:bottom w:w="0" w:type="dxa"/>
          </w:tblCellMar>
        </w:tblPrEx>
        <w:tc>
          <w:tcPr>
            <w:tcW w:w="5117" w:type="dxa"/>
          </w:tcPr>
          <w:p w:rsidR="004C019C" w:rsidRPr="00A765F2" w:rsidRDefault="004C019C" w:rsidP="004C019C">
            <w:pPr>
              <w:pStyle w:val="a4"/>
              <w:jc w:val="both"/>
              <w:rPr>
                <w:sz w:val="24"/>
                <w:szCs w:val="24"/>
                <w:lang w:val="en-US"/>
              </w:rPr>
            </w:pPr>
            <w:r w:rsidRPr="00A765F2">
              <w:rPr>
                <w:sz w:val="24"/>
                <w:szCs w:val="24"/>
              </w:rPr>
              <w:t xml:space="preserve">1.4. </w:t>
            </w:r>
            <w:r w:rsidRPr="00A765F2">
              <w:rPr>
                <w:sz w:val="24"/>
                <w:szCs w:val="24"/>
                <w:lang w:val="en-US"/>
              </w:rPr>
              <w:t>Issuer’s PSRN</w:t>
            </w:r>
          </w:p>
        </w:tc>
        <w:tc>
          <w:tcPr>
            <w:tcW w:w="5258" w:type="dxa"/>
            <w:gridSpan w:val="2"/>
          </w:tcPr>
          <w:p w:rsidR="004C019C" w:rsidRPr="00A765F2" w:rsidRDefault="004C019C" w:rsidP="004C019C">
            <w:pPr>
              <w:pStyle w:val="a4"/>
              <w:jc w:val="both"/>
              <w:rPr>
                <w:sz w:val="24"/>
                <w:szCs w:val="24"/>
              </w:rPr>
            </w:pPr>
            <w:r w:rsidRPr="00A765F2">
              <w:rPr>
                <w:sz w:val="24"/>
                <w:szCs w:val="24"/>
              </w:rPr>
              <w:t>1022301427268</w:t>
            </w:r>
          </w:p>
        </w:tc>
      </w:tr>
      <w:tr w:rsidR="004C019C" w:rsidRPr="00D440D5" w:rsidTr="00483F4A">
        <w:tblPrEx>
          <w:tblCellMar>
            <w:top w:w="0" w:type="dxa"/>
            <w:bottom w:w="0" w:type="dxa"/>
          </w:tblCellMar>
        </w:tblPrEx>
        <w:tc>
          <w:tcPr>
            <w:tcW w:w="5117" w:type="dxa"/>
          </w:tcPr>
          <w:p w:rsidR="004C019C" w:rsidRPr="00A765F2" w:rsidRDefault="004C019C" w:rsidP="004C019C">
            <w:pPr>
              <w:pStyle w:val="a4"/>
              <w:jc w:val="both"/>
              <w:rPr>
                <w:sz w:val="24"/>
                <w:szCs w:val="24"/>
                <w:lang w:val="en-US"/>
              </w:rPr>
            </w:pPr>
            <w:r w:rsidRPr="00A765F2">
              <w:rPr>
                <w:sz w:val="24"/>
                <w:szCs w:val="24"/>
              </w:rPr>
              <w:t xml:space="preserve">1.5. </w:t>
            </w:r>
            <w:r w:rsidRPr="00A765F2">
              <w:rPr>
                <w:sz w:val="24"/>
                <w:szCs w:val="24"/>
                <w:lang w:val="en-US"/>
              </w:rPr>
              <w:t>Issuer’s TIN</w:t>
            </w:r>
          </w:p>
        </w:tc>
        <w:tc>
          <w:tcPr>
            <w:tcW w:w="5258" w:type="dxa"/>
            <w:gridSpan w:val="2"/>
          </w:tcPr>
          <w:p w:rsidR="004C019C" w:rsidRPr="00A765F2" w:rsidRDefault="004C019C" w:rsidP="004C019C">
            <w:pPr>
              <w:pStyle w:val="a4"/>
              <w:jc w:val="both"/>
              <w:rPr>
                <w:sz w:val="24"/>
                <w:szCs w:val="24"/>
              </w:rPr>
            </w:pPr>
            <w:r w:rsidRPr="00A765F2">
              <w:rPr>
                <w:sz w:val="24"/>
                <w:szCs w:val="24"/>
              </w:rPr>
              <w:t>2309001660</w:t>
            </w:r>
          </w:p>
        </w:tc>
      </w:tr>
      <w:tr w:rsidR="004C019C" w:rsidRPr="00D440D5" w:rsidTr="00483F4A">
        <w:tblPrEx>
          <w:tblCellMar>
            <w:top w:w="0" w:type="dxa"/>
            <w:bottom w:w="0" w:type="dxa"/>
          </w:tblCellMar>
        </w:tblPrEx>
        <w:tc>
          <w:tcPr>
            <w:tcW w:w="5117" w:type="dxa"/>
          </w:tcPr>
          <w:p w:rsidR="004C019C" w:rsidRPr="00A765F2" w:rsidRDefault="004C019C" w:rsidP="004C019C">
            <w:pPr>
              <w:pStyle w:val="a4"/>
              <w:jc w:val="both"/>
              <w:rPr>
                <w:sz w:val="24"/>
                <w:szCs w:val="24"/>
                <w:lang w:val="en-US"/>
              </w:rPr>
            </w:pPr>
            <w:r w:rsidRPr="00A765F2">
              <w:rPr>
                <w:sz w:val="24"/>
                <w:szCs w:val="24"/>
                <w:lang w:val="en-US"/>
              </w:rPr>
              <w:t>1.6. Issuer’s unique code assigned by registering authority</w:t>
            </w:r>
          </w:p>
        </w:tc>
        <w:tc>
          <w:tcPr>
            <w:tcW w:w="5258" w:type="dxa"/>
            <w:gridSpan w:val="2"/>
          </w:tcPr>
          <w:p w:rsidR="004C019C" w:rsidRPr="00A765F2" w:rsidRDefault="004C019C" w:rsidP="004C019C">
            <w:pPr>
              <w:pStyle w:val="a4"/>
              <w:jc w:val="both"/>
              <w:rPr>
                <w:sz w:val="24"/>
                <w:szCs w:val="24"/>
                <w:lang w:val="en-US"/>
              </w:rPr>
            </w:pPr>
            <w:r w:rsidRPr="00A765F2">
              <w:rPr>
                <w:sz w:val="24"/>
                <w:szCs w:val="24"/>
              </w:rPr>
              <w:t>00063-</w:t>
            </w:r>
            <w:r w:rsidRPr="00A765F2">
              <w:rPr>
                <w:sz w:val="24"/>
                <w:szCs w:val="24"/>
                <w:lang w:val="en-US"/>
              </w:rPr>
              <w:t>A</w:t>
            </w:r>
          </w:p>
        </w:tc>
      </w:tr>
      <w:tr w:rsidR="004C019C" w:rsidRPr="004C019C" w:rsidTr="00CF5B0B">
        <w:tblPrEx>
          <w:tblCellMar>
            <w:top w:w="0" w:type="dxa"/>
            <w:bottom w:w="0" w:type="dxa"/>
          </w:tblCellMar>
        </w:tblPrEx>
        <w:tc>
          <w:tcPr>
            <w:tcW w:w="5117" w:type="dxa"/>
          </w:tcPr>
          <w:p w:rsidR="004C019C" w:rsidRPr="00A765F2" w:rsidRDefault="004C019C" w:rsidP="004C019C">
            <w:pPr>
              <w:ind w:right="57"/>
              <w:jc w:val="both"/>
              <w:rPr>
                <w:sz w:val="24"/>
                <w:szCs w:val="24"/>
                <w:lang w:val="en-US"/>
              </w:rPr>
            </w:pPr>
            <w:r w:rsidRPr="00A765F2">
              <w:rPr>
                <w:sz w:val="24"/>
                <w:szCs w:val="24"/>
                <w:lang w:val="en-US"/>
              </w:rPr>
              <w:t>1.7. </w:t>
            </w:r>
            <w:r w:rsidRPr="00A765F2">
              <w:rPr>
                <w:sz w:val="24"/>
                <w:szCs w:val="24"/>
                <w:shd w:val="clear" w:color="auto" w:fill="FFFFFF"/>
                <w:lang w:val="en-US"/>
              </w:rPr>
              <w:t xml:space="preserve"> Web-page on the Internet,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5258" w:type="dxa"/>
            <w:gridSpan w:val="2"/>
          </w:tcPr>
          <w:p w:rsidR="004C019C" w:rsidRPr="00652747" w:rsidRDefault="004C019C" w:rsidP="004C019C">
            <w:pPr>
              <w:adjustRightInd w:val="0"/>
              <w:rPr>
                <w:sz w:val="24"/>
                <w:szCs w:val="24"/>
                <w:lang w:val="en-US" w:eastAsia="ru-RU"/>
              </w:rPr>
            </w:pPr>
            <w:hyperlink r:id="rId4" w:history="1">
              <w:r w:rsidRPr="00652747">
                <w:rPr>
                  <w:rStyle w:val="a3"/>
                  <w:sz w:val="24"/>
                  <w:szCs w:val="24"/>
                  <w:lang w:val="en-US" w:eastAsia="ru-RU"/>
                </w:rPr>
                <w:t>http://www.kubanenergo.ru</w:t>
              </w:r>
            </w:hyperlink>
            <w:r w:rsidRPr="00652747">
              <w:rPr>
                <w:sz w:val="24"/>
                <w:szCs w:val="24"/>
                <w:lang w:val="en-US" w:eastAsia="ru-RU"/>
              </w:rPr>
              <w:t xml:space="preserve">  </w:t>
            </w:r>
            <w:r w:rsidRPr="00652747">
              <w:rPr>
                <w:sz w:val="24"/>
                <w:szCs w:val="24"/>
                <w:lang w:val="en-US" w:eastAsia="ru-RU"/>
              </w:rPr>
              <w:br/>
            </w:r>
            <w:hyperlink r:id="rId5" w:history="1">
              <w:r w:rsidRPr="00652747">
                <w:rPr>
                  <w:rStyle w:val="a3"/>
                  <w:sz w:val="24"/>
                  <w:szCs w:val="24"/>
                  <w:lang w:val="en-US" w:eastAsia="ru-RU"/>
                </w:rPr>
                <w:t>http://www.e-disclosure.ru/portal/company.aspx?id=2827</w:t>
              </w:r>
            </w:hyperlink>
            <w:r w:rsidRPr="00652747">
              <w:rPr>
                <w:sz w:val="24"/>
                <w:szCs w:val="24"/>
                <w:lang w:val="en-US" w:eastAsia="ru-RU"/>
              </w:rPr>
              <w:t xml:space="preserve">  </w:t>
            </w:r>
          </w:p>
        </w:tc>
      </w:tr>
      <w:tr w:rsidR="004C019C" w:rsidRPr="00D440D5" w:rsidTr="00CF5B0B">
        <w:tblPrEx>
          <w:tblCellMar>
            <w:top w:w="0" w:type="dxa"/>
            <w:bottom w:w="0" w:type="dxa"/>
          </w:tblCellMar>
        </w:tblPrEx>
        <w:tc>
          <w:tcPr>
            <w:tcW w:w="10375" w:type="dxa"/>
            <w:gridSpan w:val="3"/>
          </w:tcPr>
          <w:p w:rsidR="004C019C" w:rsidRPr="00D440D5" w:rsidRDefault="004C019C" w:rsidP="00CF5B0B">
            <w:pPr>
              <w:jc w:val="center"/>
              <w:rPr>
                <w:szCs w:val="22"/>
              </w:rPr>
            </w:pPr>
            <w:r w:rsidRPr="00A765F2">
              <w:rPr>
                <w:sz w:val="24"/>
                <w:szCs w:val="24"/>
                <w:lang w:val="en-US"/>
              </w:rPr>
              <w:t>2. Statement content</w:t>
            </w:r>
          </w:p>
        </w:tc>
      </w:tr>
      <w:tr w:rsidR="004C019C" w:rsidRPr="004C019C" w:rsidTr="00CF5B0B">
        <w:tblPrEx>
          <w:tblCellMar>
            <w:top w:w="0" w:type="dxa"/>
            <w:bottom w:w="0" w:type="dxa"/>
          </w:tblCellMar>
        </w:tblPrEx>
        <w:tc>
          <w:tcPr>
            <w:tcW w:w="10375" w:type="dxa"/>
            <w:gridSpan w:val="3"/>
          </w:tcPr>
          <w:p w:rsidR="004C019C" w:rsidRPr="004C019C" w:rsidRDefault="004C019C" w:rsidP="004C019C">
            <w:pPr>
              <w:pStyle w:val="ConsPlusNormal"/>
              <w:ind w:firstLine="540"/>
              <w:jc w:val="center"/>
              <w:rPr>
                <w:b w:val="0"/>
                <w:lang w:val="en-US"/>
              </w:rPr>
            </w:pPr>
            <w:r>
              <w:rPr>
                <w:lang w:val="en-US"/>
              </w:rPr>
              <w:t>Information</w:t>
            </w:r>
            <w:r w:rsidRPr="004C019C">
              <w:rPr>
                <w:lang w:val="en-US"/>
              </w:rPr>
              <w:t xml:space="preserve"> </w:t>
            </w:r>
            <w:r>
              <w:rPr>
                <w:lang w:val="en-US"/>
              </w:rPr>
              <w:t>on</w:t>
            </w:r>
            <w:r w:rsidRPr="004C019C">
              <w:rPr>
                <w:lang w:val="en-US"/>
              </w:rPr>
              <w:t xml:space="preserve"> </w:t>
            </w:r>
            <w:r>
              <w:rPr>
                <w:lang w:val="en-US"/>
              </w:rPr>
              <w:t xml:space="preserve">adoption of resolution on approval of Exchange-traded bonds programme </w:t>
            </w:r>
          </w:p>
        </w:tc>
      </w:tr>
      <w:tr w:rsidR="004C019C" w:rsidRPr="004C019C" w:rsidTr="00CF5B0B">
        <w:tblPrEx>
          <w:tblCellMar>
            <w:top w:w="0" w:type="dxa"/>
            <w:bottom w:w="0" w:type="dxa"/>
          </w:tblCellMar>
        </w:tblPrEx>
        <w:trPr>
          <w:trHeight w:val="77"/>
        </w:trPr>
        <w:tc>
          <w:tcPr>
            <w:tcW w:w="10375" w:type="dxa"/>
            <w:gridSpan w:val="3"/>
          </w:tcPr>
          <w:p w:rsidR="004C019C" w:rsidRPr="00862210" w:rsidRDefault="004C019C" w:rsidP="004C019C">
            <w:pPr>
              <w:adjustRightInd w:val="0"/>
              <w:jc w:val="both"/>
              <w:rPr>
                <w:bCs/>
                <w:sz w:val="24"/>
                <w:szCs w:val="24"/>
                <w:lang w:val="en-US" w:eastAsia="ru-RU"/>
              </w:rPr>
            </w:pPr>
            <w:r w:rsidRPr="004C019C">
              <w:rPr>
                <w:bCs/>
                <w:szCs w:val="22"/>
                <w:lang w:val="en-US" w:eastAsia="ru-RU"/>
              </w:rPr>
              <w:t xml:space="preserve">2.1. </w:t>
            </w:r>
            <w:r w:rsidRPr="00862210">
              <w:rPr>
                <w:sz w:val="24"/>
                <w:szCs w:val="24"/>
                <w:shd w:val="clear" w:color="auto" w:fill="FFFFFF"/>
                <w:lang w:val="en-US"/>
              </w:rPr>
              <w:t>Issuer’s governing body approved the Resolution on securities placement, and resolution adoption way (specify the type of the general meeting (annual or extraordinary) in case the issuer’s governing body adopted the resolution on securities placement is represented by a general meeting of the issuer’s participants (shareholders), as well as type of voting (joint presence or vote in absentia): </w:t>
            </w:r>
          </w:p>
          <w:p w:rsidR="004C019C" w:rsidRPr="00862210" w:rsidRDefault="004C019C" w:rsidP="004C019C">
            <w:pPr>
              <w:adjustRightInd w:val="0"/>
              <w:rPr>
                <w:b/>
                <w:bCs/>
                <w:sz w:val="24"/>
                <w:szCs w:val="24"/>
                <w:lang w:val="en-US" w:eastAsia="ru-RU"/>
              </w:rPr>
            </w:pPr>
            <w:r w:rsidRPr="00862210">
              <w:rPr>
                <w:b/>
                <w:bCs/>
                <w:sz w:val="24"/>
                <w:szCs w:val="24"/>
                <w:lang w:val="en-US" w:eastAsia="ru-RU"/>
              </w:rPr>
              <w:t>The Board of Directors, absentee voting</w:t>
            </w:r>
          </w:p>
          <w:p w:rsidR="004C019C" w:rsidRPr="004C019C" w:rsidRDefault="004C019C" w:rsidP="00CF5B0B">
            <w:pPr>
              <w:jc w:val="both"/>
              <w:rPr>
                <w:b/>
                <w:i/>
                <w:lang w:val="en-US"/>
              </w:rPr>
            </w:pPr>
            <w:r w:rsidRPr="004C019C">
              <w:rPr>
                <w:bCs/>
                <w:szCs w:val="22"/>
                <w:lang w:val="en-US" w:eastAsia="ru-RU"/>
              </w:rPr>
              <w:t xml:space="preserve">2.2. </w:t>
            </w:r>
            <w:r w:rsidRPr="00862210">
              <w:rPr>
                <w:sz w:val="24"/>
                <w:szCs w:val="24"/>
                <w:shd w:val="clear" w:color="auto" w:fill="FFFFFF"/>
                <w:lang w:val="en-US"/>
              </w:rPr>
              <w:t>Date and venue of the meeting of the issuer’s authorized governing body, where it was decided to approve the Resolution on securities placement was adopted</w:t>
            </w:r>
            <w:r w:rsidRPr="00862210">
              <w:rPr>
                <w:bCs/>
                <w:sz w:val="24"/>
                <w:szCs w:val="24"/>
                <w:lang w:val="en-US" w:eastAsia="ru-RU"/>
              </w:rPr>
              <w:t xml:space="preserve">: </w:t>
            </w:r>
            <w:r>
              <w:rPr>
                <w:b/>
                <w:bCs/>
                <w:sz w:val="24"/>
                <w:szCs w:val="24"/>
                <w:lang w:val="en-US"/>
              </w:rPr>
              <w:t>20.090.2016</w:t>
            </w:r>
            <w:r w:rsidRPr="00862210">
              <w:rPr>
                <w:b/>
                <w:bCs/>
                <w:sz w:val="24"/>
                <w:szCs w:val="24"/>
                <w:lang w:val="en-US"/>
              </w:rPr>
              <w:t xml:space="preserve">; </w:t>
            </w:r>
            <w:r w:rsidRPr="00862210">
              <w:rPr>
                <w:b/>
                <w:sz w:val="24"/>
                <w:szCs w:val="24"/>
                <w:lang w:val="en-US"/>
              </w:rPr>
              <w:t>2A, Stavropolskaya str., Krasnodar, Russian federation, 350033</w:t>
            </w:r>
          </w:p>
          <w:p w:rsidR="004C019C" w:rsidRPr="00862210" w:rsidRDefault="004C019C" w:rsidP="004C019C">
            <w:pPr>
              <w:adjustRightInd w:val="0"/>
              <w:jc w:val="both"/>
              <w:rPr>
                <w:bCs/>
                <w:sz w:val="24"/>
                <w:szCs w:val="24"/>
                <w:lang w:val="en-US" w:eastAsia="ru-RU"/>
              </w:rPr>
            </w:pPr>
            <w:r w:rsidRPr="004C019C">
              <w:rPr>
                <w:bCs/>
                <w:szCs w:val="22"/>
                <w:lang w:val="en-US" w:eastAsia="ru-RU"/>
              </w:rPr>
              <w:t xml:space="preserve">2.3. </w:t>
            </w:r>
            <w:r w:rsidRPr="00862210">
              <w:rPr>
                <w:sz w:val="24"/>
                <w:szCs w:val="24"/>
                <w:shd w:val="clear" w:color="auto" w:fill="FFFFFF"/>
                <w:lang w:val="en-US"/>
              </w:rPr>
              <w:t>Date and number of the minutes to the meeting of the issuer’s authorized governing body, where it was decided to approve the Resolution on securities placement was adopted</w:t>
            </w:r>
            <w:r w:rsidRPr="00862210">
              <w:rPr>
                <w:bCs/>
                <w:sz w:val="24"/>
                <w:szCs w:val="24"/>
                <w:lang w:val="en-US" w:eastAsia="ru-RU"/>
              </w:rPr>
              <w:t>:</w:t>
            </w:r>
          </w:p>
          <w:p w:rsidR="004C019C" w:rsidRPr="004C019C" w:rsidRDefault="004C019C" w:rsidP="004C019C">
            <w:pPr>
              <w:jc w:val="both"/>
              <w:rPr>
                <w:b/>
                <w:bCs/>
                <w:iCs/>
                <w:sz w:val="24"/>
                <w:szCs w:val="24"/>
                <w:shd w:val="clear" w:color="auto" w:fill="FFFFFF"/>
                <w:lang w:val="en-US"/>
              </w:rPr>
            </w:pPr>
            <w:r w:rsidRPr="00862210">
              <w:rPr>
                <w:b/>
                <w:bCs/>
                <w:iCs/>
                <w:sz w:val="24"/>
                <w:szCs w:val="24"/>
                <w:shd w:val="clear" w:color="auto" w:fill="FFFFFF"/>
                <w:lang w:val="en-US"/>
              </w:rPr>
              <w:t>Minutes</w:t>
            </w:r>
            <w:r w:rsidRPr="004C019C">
              <w:rPr>
                <w:b/>
                <w:bCs/>
                <w:iCs/>
                <w:sz w:val="24"/>
                <w:szCs w:val="24"/>
                <w:shd w:val="clear" w:color="auto" w:fill="FFFFFF"/>
                <w:lang w:val="en-US"/>
              </w:rPr>
              <w:t xml:space="preserve"> </w:t>
            </w:r>
            <w:r w:rsidRPr="00862210">
              <w:rPr>
                <w:b/>
                <w:bCs/>
                <w:iCs/>
                <w:sz w:val="24"/>
                <w:szCs w:val="24"/>
                <w:shd w:val="clear" w:color="auto" w:fill="FFFFFF"/>
                <w:lang w:val="en-US"/>
              </w:rPr>
              <w:t>of</w:t>
            </w:r>
            <w:r w:rsidRPr="004C019C">
              <w:rPr>
                <w:b/>
                <w:bCs/>
                <w:iCs/>
                <w:sz w:val="24"/>
                <w:szCs w:val="24"/>
                <w:shd w:val="clear" w:color="auto" w:fill="FFFFFF"/>
                <w:lang w:val="en-US"/>
              </w:rPr>
              <w:t xml:space="preserve"> </w:t>
            </w:r>
            <w:r w:rsidRPr="00862210">
              <w:rPr>
                <w:b/>
                <w:bCs/>
                <w:iCs/>
                <w:sz w:val="24"/>
                <w:szCs w:val="24"/>
                <w:shd w:val="clear" w:color="auto" w:fill="FFFFFF"/>
                <w:lang w:val="en-US"/>
              </w:rPr>
              <w:t>meeting</w:t>
            </w:r>
            <w:r w:rsidRPr="004C019C">
              <w:rPr>
                <w:b/>
                <w:bCs/>
                <w:iCs/>
                <w:sz w:val="24"/>
                <w:szCs w:val="24"/>
                <w:shd w:val="clear" w:color="auto" w:fill="FFFFFF"/>
                <w:lang w:val="en-US"/>
              </w:rPr>
              <w:t xml:space="preserve"> </w:t>
            </w:r>
            <w:r w:rsidRPr="00862210">
              <w:rPr>
                <w:b/>
                <w:bCs/>
                <w:iCs/>
                <w:sz w:val="24"/>
                <w:szCs w:val="24"/>
                <w:shd w:val="clear" w:color="auto" w:fill="FFFFFF"/>
                <w:lang w:val="en-US"/>
              </w:rPr>
              <w:t>No</w:t>
            </w:r>
            <w:r w:rsidRPr="004C019C">
              <w:rPr>
                <w:b/>
                <w:bCs/>
                <w:iCs/>
                <w:sz w:val="24"/>
                <w:szCs w:val="24"/>
                <w:shd w:val="clear" w:color="auto" w:fill="FFFFFF"/>
                <w:lang w:val="en-US"/>
              </w:rPr>
              <w:t>.2</w:t>
            </w:r>
            <w:r>
              <w:rPr>
                <w:b/>
                <w:bCs/>
                <w:iCs/>
                <w:sz w:val="24"/>
                <w:szCs w:val="24"/>
                <w:shd w:val="clear" w:color="auto" w:fill="FFFFFF"/>
                <w:lang w:val="en-US"/>
              </w:rPr>
              <w:t>51</w:t>
            </w:r>
            <w:r w:rsidRPr="004C019C">
              <w:rPr>
                <w:b/>
                <w:bCs/>
                <w:iCs/>
                <w:sz w:val="24"/>
                <w:szCs w:val="24"/>
                <w:shd w:val="clear" w:color="auto" w:fill="FFFFFF"/>
                <w:lang w:val="en-US"/>
              </w:rPr>
              <w:t>/201</w:t>
            </w:r>
            <w:r>
              <w:rPr>
                <w:b/>
                <w:bCs/>
                <w:iCs/>
                <w:sz w:val="24"/>
                <w:szCs w:val="24"/>
                <w:shd w:val="clear" w:color="auto" w:fill="FFFFFF"/>
                <w:lang w:val="en-US"/>
              </w:rPr>
              <w:t>6</w:t>
            </w:r>
            <w:r w:rsidRPr="004C019C">
              <w:rPr>
                <w:b/>
                <w:bCs/>
                <w:iCs/>
                <w:sz w:val="24"/>
                <w:szCs w:val="24"/>
                <w:shd w:val="clear" w:color="auto" w:fill="FFFFFF"/>
                <w:lang w:val="en-US"/>
              </w:rPr>
              <w:t xml:space="preserve"> </w:t>
            </w:r>
            <w:r w:rsidRPr="00862210">
              <w:rPr>
                <w:b/>
                <w:bCs/>
                <w:iCs/>
                <w:sz w:val="24"/>
                <w:szCs w:val="24"/>
                <w:shd w:val="clear" w:color="auto" w:fill="FFFFFF"/>
                <w:lang w:val="en-US"/>
              </w:rPr>
              <w:t>dated</w:t>
            </w:r>
            <w:r w:rsidRPr="004C019C">
              <w:rPr>
                <w:b/>
                <w:bCs/>
                <w:iCs/>
                <w:sz w:val="24"/>
                <w:szCs w:val="24"/>
                <w:shd w:val="clear" w:color="auto" w:fill="FFFFFF"/>
                <w:lang w:val="en-US"/>
              </w:rPr>
              <w:t xml:space="preserve"> </w:t>
            </w:r>
            <w:r>
              <w:rPr>
                <w:b/>
                <w:bCs/>
                <w:iCs/>
                <w:sz w:val="24"/>
                <w:szCs w:val="24"/>
                <w:shd w:val="clear" w:color="auto" w:fill="FFFFFF"/>
                <w:lang w:val="en-US"/>
              </w:rPr>
              <w:t>23.09.2016</w:t>
            </w:r>
          </w:p>
          <w:p w:rsidR="004C019C" w:rsidRPr="00862210" w:rsidRDefault="004C019C" w:rsidP="004C019C">
            <w:pPr>
              <w:adjustRightInd w:val="0"/>
              <w:jc w:val="both"/>
              <w:rPr>
                <w:bCs/>
                <w:sz w:val="24"/>
                <w:szCs w:val="24"/>
                <w:lang w:val="en-US" w:eastAsia="ru-RU"/>
              </w:rPr>
            </w:pPr>
            <w:r w:rsidRPr="004C019C">
              <w:rPr>
                <w:bCs/>
                <w:szCs w:val="22"/>
                <w:lang w:val="en-US" w:eastAsia="ru-RU"/>
              </w:rPr>
              <w:t xml:space="preserve">2.4. </w:t>
            </w:r>
            <w:r w:rsidRPr="00862210">
              <w:rPr>
                <w:sz w:val="24"/>
                <w:szCs w:val="24"/>
                <w:shd w:val="clear" w:color="auto" w:fill="FFFFFF"/>
                <w:lang w:val="en-US"/>
              </w:rPr>
              <w:t>Quorum and voting results concerning the approval of the Resolution adoption on securities placement</w:t>
            </w:r>
            <w:r w:rsidRPr="00862210">
              <w:rPr>
                <w:bCs/>
                <w:sz w:val="24"/>
                <w:szCs w:val="24"/>
                <w:lang w:val="en-US" w:eastAsia="ru-RU"/>
              </w:rPr>
              <w:t>:</w:t>
            </w:r>
          </w:p>
          <w:p w:rsidR="004C019C" w:rsidRPr="00862210" w:rsidRDefault="004C019C" w:rsidP="004C019C">
            <w:pPr>
              <w:adjustRightInd w:val="0"/>
              <w:jc w:val="both"/>
              <w:rPr>
                <w:b/>
                <w:sz w:val="24"/>
                <w:szCs w:val="24"/>
                <w:lang w:val="en-US" w:eastAsia="ru-RU"/>
              </w:rPr>
            </w:pPr>
            <w:r w:rsidRPr="00862210">
              <w:rPr>
                <w:b/>
                <w:sz w:val="24"/>
                <w:szCs w:val="24"/>
                <w:lang w:val="en-US"/>
              </w:rPr>
              <w:t>11 (eleven) out of 11 (eleven) members of the Board of Directors took part in voting on agenda items.</w:t>
            </w:r>
          </w:p>
          <w:p w:rsidR="004C019C" w:rsidRPr="00862210" w:rsidRDefault="004C019C" w:rsidP="004C019C">
            <w:pPr>
              <w:tabs>
                <w:tab w:val="left" w:pos="284"/>
              </w:tabs>
              <w:ind w:right="140"/>
              <w:jc w:val="both"/>
              <w:rPr>
                <w:b/>
                <w:sz w:val="24"/>
                <w:szCs w:val="24"/>
                <w:lang w:val="en-US"/>
              </w:rPr>
            </w:pPr>
            <w:r w:rsidRPr="00862210">
              <w:rPr>
                <w:b/>
                <w:sz w:val="24"/>
                <w:szCs w:val="24"/>
                <w:lang w:val="en-US"/>
              </w:rPr>
              <w:t xml:space="preserve">Quorum necessary for holding the meeting of </w:t>
            </w:r>
            <w:r>
              <w:rPr>
                <w:b/>
                <w:sz w:val="24"/>
                <w:szCs w:val="24"/>
                <w:lang w:val="en-US"/>
              </w:rPr>
              <w:t>th</w:t>
            </w:r>
            <w:r>
              <w:rPr>
                <w:b/>
                <w:sz w:val="24"/>
                <w:szCs w:val="24"/>
                <w:lang w:val="en-US"/>
              </w:rPr>
              <w:t>e</w:t>
            </w:r>
            <w:r w:rsidRPr="00862210">
              <w:rPr>
                <w:b/>
                <w:sz w:val="24"/>
                <w:szCs w:val="24"/>
                <w:lang w:val="en-US"/>
              </w:rPr>
              <w:t xml:space="preserve"> Board of Directors was present.</w:t>
            </w:r>
          </w:p>
          <w:p w:rsidR="004C019C" w:rsidRPr="00862210" w:rsidRDefault="004C019C" w:rsidP="004C019C">
            <w:pPr>
              <w:tabs>
                <w:tab w:val="left" w:pos="3355"/>
              </w:tabs>
              <w:ind w:right="140"/>
              <w:jc w:val="both"/>
              <w:rPr>
                <w:b/>
                <w:sz w:val="24"/>
                <w:szCs w:val="24"/>
                <w:lang w:val="en-US"/>
              </w:rPr>
            </w:pPr>
            <w:r w:rsidRPr="00862210">
              <w:rPr>
                <w:b/>
                <w:sz w:val="24"/>
                <w:szCs w:val="24"/>
                <w:lang w:val="en-US"/>
              </w:rPr>
              <w:t xml:space="preserve">For – </w:t>
            </w:r>
            <w:r>
              <w:rPr>
                <w:b/>
                <w:sz w:val="24"/>
                <w:szCs w:val="24"/>
                <w:lang w:val="en-US"/>
              </w:rPr>
              <w:t>10</w:t>
            </w:r>
            <w:r w:rsidRPr="00862210">
              <w:rPr>
                <w:b/>
                <w:sz w:val="24"/>
                <w:szCs w:val="24"/>
                <w:lang w:val="en-US"/>
              </w:rPr>
              <w:t xml:space="preserve">; Against – </w:t>
            </w:r>
            <w:r>
              <w:rPr>
                <w:b/>
                <w:sz w:val="24"/>
                <w:szCs w:val="24"/>
                <w:lang w:val="en-US"/>
              </w:rPr>
              <w:t>1</w:t>
            </w:r>
            <w:r w:rsidRPr="00862210">
              <w:rPr>
                <w:b/>
                <w:sz w:val="24"/>
                <w:szCs w:val="24"/>
                <w:lang w:val="en-US"/>
              </w:rPr>
              <w:t>; Abstained – 0. Resolution was adopted.</w:t>
            </w:r>
          </w:p>
          <w:p w:rsidR="004C019C" w:rsidRPr="004C019C" w:rsidRDefault="004C019C" w:rsidP="004C019C">
            <w:pPr>
              <w:jc w:val="both"/>
              <w:rPr>
                <w:b/>
                <w:lang w:val="en-US"/>
              </w:rPr>
            </w:pPr>
            <w:r w:rsidRPr="00345258">
              <w:rPr>
                <w:lang w:val="en-US"/>
              </w:rPr>
              <w:t xml:space="preserve">2.5. The maximum </w:t>
            </w:r>
            <w:r>
              <w:rPr>
                <w:lang w:val="en-US"/>
              </w:rPr>
              <w:t>total</w:t>
            </w:r>
            <w:r w:rsidRPr="00345258">
              <w:rPr>
                <w:lang w:val="en-US"/>
              </w:rPr>
              <w:t xml:space="preserve"> nominal value of bonds, which can be placed under the bond program</w:t>
            </w:r>
            <w:r>
              <w:rPr>
                <w:lang w:val="en-US"/>
              </w:rPr>
              <w:t>me</w:t>
            </w:r>
            <w:r w:rsidRPr="00345258">
              <w:rPr>
                <w:lang w:val="en-US"/>
              </w:rPr>
              <w:t xml:space="preserve">: </w:t>
            </w:r>
            <w:r w:rsidRPr="004C019C">
              <w:rPr>
                <w:b/>
                <w:lang w:val="en-US"/>
              </w:rPr>
              <w:t>The maximum total nominal value of the exchange-traded bonds, which can be placed within the framework of the bonds programme is 25 000 000 000 (twenty five billion) Russian rubles inclusive.</w:t>
            </w:r>
          </w:p>
          <w:p w:rsidR="004C019C" w:rsidRPr="00345258" w:rsidRDefault="004C019C" w:rsidP="004C019C">
            <w:pPr>
              <w:jc w:val="both"/>
              <w:rPr>
                <w:lang w:val="en-US"/>
              </w:rPr>
            </w:pPr>
            <w:r w:rsidRPr="00345258">
              <w:rPr>
                <w:lang w:val="en-US"/>
              </w:rPr>
              <w:t xml:space="preserve">2.6. The maximum maturity of the bonds to be placed under the bond program: </w:t>
            </w:r>
            <w:r w:rsidRPr="004C019C">
              <w:rPr>
                <w:b/>
                <w:lang w:val="en-US"/>
              </w:rPr>
              <w:t>The maximum period of repayment of the exchange-traded bonds placed under the programme is 10 920 (ten thousand nine hundred twenty) days from the date of commencement of placement of Exchange-traded bonds under the bonds programme</w:t>
            </w:r>
            <w:r w:rsidRPr="00345258">
              <w:rPr>
                <w:lang w:val="en-US"/>
              </w:rPr>
              <w:t>.</w:t>
            </w:r>
          </w:p>
          <w:p w:rsidR="004C019C" w:rsidRPr="004C019C" w:rsidRDefault="004C019C" w:rsidP="004C019C">
            <w:pPr>
              <w:jc w:val="both"/>
              <w:rPr>
                <w:b/>
                <w:lang w:val="en-US"/>
              </w:rPr>
            </w:pPr>
            <w:r w:rsidRPr="00345258">
              <w:rPr>
                <w:lang w:val="en-US"/>
              </w:rPr>
              <w:t xml:space="preserve">2.7. Term </w:t>
            </w:r>
            <w:r>
              <w:rPr>
                <w:lang w:val="en-US"/>
              </w:rPr>
              <w:t xml:space="preserve">of the </w:t>
            </w:r>
            <w:r w:rsidRPr="00345258">
              <w:rPr>
                <w:lang w:val="en-US"/>
              </w:rPr>
              <w:t>Bond program</w:t>
            </w:r>
            <w:r>
              <w:rPr>
                <w:lang w:val="en-US"/>
              </w:rPr>
              <w:t>me</w:t>
            </w:r>
            <w:r w:rsidRPr="00345258">
              <w:rPr>
                <w:lang w:val="en-US"/>
              </w:rPr>
              <w:t xml:space="preserve">: </w:t>
            </w:r>
            <w:r w:rsidRPr="004C019C">
              <w:rPr>
                <w:b/>
                <w:lang w:val="en-US"/>
              </w:rPr>
              <w:t>unlimited.</w:t>
            </w:r>
          </w:p>
          <w:p w:rsidR="004C019C" w:rsidRPr="004C019C" w:rsidRDefault="004C019C" w:rsidP="004C019C">
            <w:pPr>
              <w:jc w:val="both"/>
              <w:rPr>
                <w:szCs w:val="22"/>
                <w:lang w:val="en-US"/>
              </w:rPr>
            </w:pPr>
            <w:r w:rsidRPr="004C019C">
              <w:rPr>
                <w:bCs/>
                <w:szCs w:val="22"/>
                <w:lang w:val="en-US" w:eastAsia="ru-RU"/>
              </w:rPr>
              <w:t xml:space="preserve">2.8. </w:t>
            </w:r>
            <w:r w:rsidRPr="00862210">
              <w:rPr>
                <w:sz w:val="24"/>
                <w:szCs w:val="24"/>
                <w:shd w:val="clear" w:color="auto" w:fill="FFFFFF"/>
                <w:lang w:val="en-US"/>
              </w:rPr>
              <w:t>In case the registration of the prospectus of securities is made at the discretion of the issuer, the fact of accepting a liability by the issuer to disclose information after each stage of the securities issuance procedure</w:t>
            </w:r>
            <w:r w:rsidRPr="00862210">
              <w:rPr>
                <w:bCs/>
                <w:sz w:val="24"/>
                <w:szCs w:val="24"/>
                <w:lang w:val="en-US" w:eastAsia="ru-RU"/>
              </w:rPr>
              <w:t xml:space="preserve">: </w:t>
            </w:r>
            <w:r w:rsidRPr="00862210">
              <w:rPr>
                <w:b/>
                <w:bCs/>
                <w:sz w:val="24"/>
                <w:szCs w:val="24"/>
                <w:lang w:val="en-US" w:eastAsia="ru-RU"/>
              </w:rPr>
              <w:t>Securities Prospectus is submitted to stock exchange</w:t>
            </w:r>
            <w:r>
              <w:rPr>
                <w:b/>
                <w:bCs/>
                <w:sz w:val="24"/>
                <w:szCs w:val="24"/>
                <w:lang w:val="en-US" w:eastAsia="ru-RU"/>
              </w:rPr>
              <w:t xml:space="preserve"> simultaneously with the </w:t>
            </w:r>
            <w:r w:rsidRPr="00862210">
              <w:rPr>
                <w:b/>
                <w:sz w:val="24"/>
                <w:szCs w:val="24"/>
                <w:lang w:val="en-US"/>
              </w:rPr>
              <w:t>exchange-traded bonds programme</w:t>
            </w:r>
            <w:r w:rsidRPr="00862210">
              <w:rPr>
                <w:b/>
                <w:sz w:val="24"/>
                <w:szCs w:val="24"/>
                <w:lang w:val="en-US"/>
              </w:rPr>
              <w:t xml:space="preserve"> </w:t>
            </w:r>
            <w:r>
              <w:rPr>
                <w:b/>
                <w:sz w:val="24"/>
                <w:szCs w:val="24"/>
                <w:lang w:val="en-US"/>
              </w:rPr>
              <w:t xml:space="preserve">of series 00P – first part </w:t>
            </w:r>
            <w:r w:rsidRPr="00862210">
              <w:rPr>
                <w:b/>
                <w:sz w:val="24"/>
                <w:szCs w:val="24"/>
                <w:lang w:val="en-US"/>
              </w:rPr>
              <w:t>exchange</w:t>
            </w:r>
            <w:r>
              <w:rPr>
                <w:b/>
                <w:sz w:val="24"/>
                <w:szCs w:val="24"/>
                <w:lang w:val="en-US"/>
              </w:rPr>
              <w:t xml:space="preserve"> </w:t>
            </w:r>
            <w:r w:rsidRPr="00862210">
              <w:rPr>
                <w:b/>
                <w:sz w:val="24"/>
                <w:szCs w:val="24"/>
                <w:lang w:val="en-US"/>
              </w:rPr>
              <w:t>-</w:t>
            </w:r>
            <w:r w:rsidRPr="00862210">
              <w:rPr>
                <w:b/>
                <w:sz w:val="24"/>
                <w:szCs w:val="24"/>
                <w:lang w:val="en-US"/>
              </w:rPr>
              <w:t xml:space="preserve"> </w:t>
            </w:r>
            <w:r w:rsidRPr="00862210">
              <w:rPr>
                <w:b/>
                <w:sz w:val="24"/>
                <w:szCs w:val="24"/>
                <w:lang w:val="en-US"/>
              </w:rPr>
              <w:t>Securities issue resolution)</w:t>
            </w:r>
            <w:r w:rsidRPr="0067641C">
              <w:rPr>
                <w:lang w:val="en-US"/>
              </w:rPr>
              <w:t xml:space="preserve"> </w:t>
            </w:r>
            <w:r w:rsidRPr="0067641C">
              <w:rPr>
                <w:b/>
                <w:sz w:val="24"/>
                <w:szCs w:val="24"/>
                <w:lang w:val="en-US"/>
              </w:rPr>
              <w:t>containing defined by general way the rights of owners exchange bonds and other general conditions for one or several issues of exchange bonds</w:t>
            </w:r>
            <w:r w:rsidRPr="00862210">
              <w:rPr>
                <w:b/>
                <w:sz w:val="24"/>
                <w:szCs w:val="24"/>
                <w:lang w:val="en-US" w:eastAsia="ru-RU"/>
              </w:rPr>
              <w:t xml:space="preserve">; </w:t>
            </w:r>
            <w:r w:rsidRPr="00862210">
              <w:rPr>
                <w:b/>
                <w:bCs/>
                <w:iCs/>
                <w:sz w:val="24"/>
                <w:szCs w:val="24"/>
                <w:shd w:val="clear" w:color="auto" w:fill="FFFFFF"/>
                <w:lang w:val="en-US"/>
              </w:rPr>
              <w:t>The issuer shall disclose the information after each of the securities issuance procedure stages.</w:t>
            </w:r>
          </w:p>
        </w:tc>
      </w:tr>
      <w:tr w:rsidR="004C019C" w:rsidRPr="00A765F2" w:rsidTr="00CF5B0B">
        <w:tblPrEx>
          <w:tblCellMar>
            <w:top w:w="0" w:type="dxa"/>
            <w:bottom w:w="0" w:type="dxa"/>
          </w:tblCellMar>
          <w:tblLook w:val="04A0" w:firstRow="1" w:lastRow="0" w:firstColumn="1" w:lastColumn="0" w:noHBand="0" w:noVBand="1"/>
        </w:tblPrEx>
        <w:trPr>
          <w:cantSplit/>
        </w:trPr>
        <w:tc>
          <w:tcPr>
            <w:tcW w:w="10375" w:type="dxa"/>
            <w:gridSpan w:val="3"/>
            <w:tcBorders>
              <w:top w:val="single" w:sz="4" w:space="0" w:color="auto"/>
              <w:left w:val="single" w:sz="4" w:space="0" w:color="auto"/>
              <w:bottom w:val="single" w:sz="4" w:space="0" w:color="auto"/>
              <w:right w:val="single" w:sz="4" w:space="0" w:color="auto"/>
            </w:tcBorders>
          </w:tcPr>
          <w:p w:rsidR="004C019C" w:rsidRPr="00652747" w:rsidRDefault="004C019C" w:rsidP="00CF5B0B">
            <w:pPr>
              <w:spacing w:line="276" w:lineRule="auto"/>
              <w:jc w:val="center"/>
              <w:rPr>
                <w:sz w:val="24"/>
                <w:szCs w:val="24"/>
                <w:lang w:val="en-US"/>
              </w:rPr>
            </w:pPr>
            <w:r w:rsidRPr="00A765F2">
              <w:rPr>
                <w:sz w:val="24"/>
                <w:szCs w:val="24"/>
              </w:rPr>
              <w:t xml:space="preserve">3. </w:t>
            </w:r>
            <w:r>
              <w:rPr>
                <w:sz w:val="24"/>
                <w:szCs w:val="24"/>
                <w:lang w:val="en-US"/>
              </w:rPr>
              <w:t>Signature</w:t>
            </w:r>
          </w:p>
        </w:tc>
      </w:tr>
      <w:tr w:rsidR="004C019C" w:rsidRPr="00A765F2" w:rsidTr="00CF5B0B">
        <w:tblPrEx>
          <w:tblCellMar>
            <w:top w:w="0" w:type="dxa"/>
            <w:bottom w:w="0" w:type="dxa"/>
          </w:tblCellMar>
          <w:tblLook w:val="04A0" w:firstRow="1" w:lastRow="0" w:firstColumn="1" w:lastColumn="0" w:noHBand="0" w:noVBand="1"/>
        </w:tblPrEx>
        <w:trPr>
          <w:cantSplit/>
          <w:trHeight w:val="965"/>
        </w:trPr>
        <w:tc>
          <w:tcPr>
            <w:tcW w:w="6091" w:type="dxa"/>
            <w:gridSpan w:val="2"/>
            <w:tcBorders>
              <w:top w:val="single" w:sz="4" w:space="0" w:color="auto"/>
              <w:left w:val="single" w:sz="4" w:space="0" w:color="auto"/>
              <w:bottom w:val="nil"/>
              <w:right w:val="nil"/>
            </w:tcBorders>
            <w:vAlign w:val="bottom"/>
          </w:tcPr>
          <w:p w:rsidR="004C019C" w:rsidRPr="00652747" w:rsidRDefault="004C019C" w:rsidP="00CF5B0B">
            <w:pPr>
              <w:rPr>
                <w:sz w:val="24"/>
                <w:szCs w:val="24"/>
                <w:lang w:val="en-US" w:eastAsia="ru-RU"/>
              </w:rPr>
            </w:pPr>
            <w:r w:rsidRPr="00336636">
              <w:rPr>
                <w:lang w:val="en-US"/>
              </w:rPr>
              <w:t xml:space="preserve">3.1 Head of corporate governance and investor relations department (by power of attorney No. </w:t>
            </w:r>
            <w:r>
              <w:rPr>
                <w:lang w:val="en-US"/>
              </w:rPr>
              <w:t>119/10-2849</w:t>
            </w:r>
            <w:r w:rsidRPr="00336636">
              <w:rPr>
                <w:lang w:val="en-US"/>
              </w:rPr>
              <w:t xml:space="preserve"> dated </w:t>
            </w:r>
            <w:r>
              <w:rPr>
                <w:lang w:val="en-US"/>
              </w:rPr>
              <w:t>17.03.2016</w:t>
            </w:r>
            <w:r w:rsidRPr="00336636">
              <w:rPr>
                <w:lang w:val="en-US"/>
              </w:rPr>
              <w:t>)</w:t>
            </w:r>
          </w:p>
          <w:p w:rsidR="004C019C" w:rsidRPr="00652747" w:rsidRDefault="004C019C" w:rsidP="00CF5B0B">
            <w:pPr>
              <w:rPr>
                <w:rFonts w:eastAsia="MS Mincho"/>
                <w:sz w:val="24"/>
                <w:szCs w:val="24"/>
                <w:lang w:val="en-US" w:eastAsia="ja-JP"/>
              </w:rPr>
            </w:pPr>
          </w:p>
        </w:tc>
        <w:tc>
          <w:tcPr>
            <w:tcW w:w="4284" w:type="dxa"/>
            <w:tcBorders>
              <w:top w:val="single" w:sz="4" w:space="0" w:color="auto"/>
              <w:left w:val="nil"/>
              <w:bottom w:val="nil"/>
              <w:right w:val="single" w:sz="4" w:space="0" w:color="auto"/>
            </w:tcBorders>
            <w:vAlign w:val="bottom"/>
          </w:tcPr>
          <w:p w:rsidR="004C019C" w:rsidRPr="00336636" w:rsidRDefault="004C019C" w:rsidP="00CF5B0B">
            <w:pPr>
              <w:rPr>
                <w:sz w:val="24"/>
                <w:szCs w:val="24"/>
              </w:rPr>
            </w:pPr>
            <w:r w:rsidRPr="00336636">
              <w:rPr>
                <w:sz w:val="24"/>
                <w:szCs w:val="24"/>
              </w:rPr>
              <w:t>_______________</w:t>
            </w:r>
            <w:r>
              <w:rPr>
                <w:sz w:val="24"/>
                <w:szCs w:val="24"/>
                <w:lang w:val="en-US"/>
              </w:rPr>
              <w:t xml:space="preserve">         </w:t>
            </w:r>
            <w:r>
              <w:rPr>
                <w:sz w:val="24"/>
                <w:szCs w:val="24"/>
              </w:rPr>
              <w:t>Didenko Ye.Ye.</w:t>
            </w:r>
          </w:p>
          <w:p w:rsidR="004C019C" w:rsidRPr="00336636" w:rsidRDefault="004C019C" w:rsidP="00CF5B0B">
            <w:pPr>
              <w:rPr>
                <w:sz w:val="24"/>
                <w:szCs w:val="24"/>
              </w:rPr>
            </w:pPr>
            <w:r>
              <w:rPr>
                <w:sz w:val="24"/>
                <w:szCs w:val="24"/>
                <w:lang w:val="en-US"/>
              </w:rPr>
              <w:t xml:space="preserve">         </w:t>
            </w:r>
            <w:r w:rsidRPr="00336636">
              <w:rPr>
                <w:sz w:val="24"/>
                <w:szCs w:val="24"/>
              </w:rPr>
              <w:t>(signature)</w:t>
            </w:r>
          </w:p>
          <w:p w:rsidR="004C019C" w:rsidRPr="00336636" w:rsidRDefault="004C019C" w:rsidP="00CF5B0B">
            <w:pPr>
              <w:rPr>
                <w:sz w:val="24"/>
                <w:szCs w:val="24"/>
              </w:rPr>
            </w:pPr>
          </w:p>
        </w:tc>
      </w:tr>
      <w:tr w:rsidR="004C019C" w:rsidRPr="00A765F2" w:rsidTr="00CF5B0B">
        <w:tblPrEx>
          <w:tblCellMar>
            <w:top w:w="0" w:type="dxa"/>
            <w:bottom w:w="0" w:type="dxa"/>
          </w:tblCellMar>
          <w:tblLook w:val="04A0" w:firstRow="1" w:lastRow="0" w:firstColumn="1" w:lastColumn="0" w:noHBand="0" w:noVBand="1"/>
        </w:tblPrEx>
        <w:trPr>
          <w:cantSplit/>
          <w:trHeight w:val="70"/>
        </w:trPr>
        <w:tc>
          <w:tcPr>
            <w:tcW w:w="6091" w:type="dxa"/>
            <w:gridSpan w:val="2"/>
            <w:tcBorders>
              <w:top w:val="nil"/>
              <w:left w:val="single" w:sz="4" w:space="0" w:color="auto"/>
              <w:bottom w:val="single" w:sz="4" w:space="0" w:color="auto"/>
              <w:right w:val="nil"/>
            </w:tcBorders>
            <w:vAlign w:val="bottom"/>
          </w:tcPr>
          <w:p w:rsidR="004C019C" w:rsidRPr="00336636" w:rsidRDefault="004C019C" w:rsidP="004C019C">
            <w:pPr>
              <w:rPr>
                <w:sz w:val="24"/>
                <w:szCs w:val="24"/>
              </w:rPr>
            </w:pPr>
            <w:r w:rsidRPr="00336636">
              <w:rPr>
                <w:sz w:val="24"/>
                <w:szCs w:val="24"/>
              </w:rPr>
              <w:t xml:space="preserve">3.2 Date: </w:t>
            </w:r>
            <w:r>
              <w:rPr>
                <w:sz w:val="24"/>
                <w:szCs w:val="24"/>
              </w:rPr>
              <w:t>2</w:t>
            </w:r>
            <w:r>
              <w:rPr>
                <w:sz w:val="24"/>
                <w:szCs w:val="24"/>
                <w:lang w:val="en-US"/>
              </w:rPr>
              <w:t>3</w:t>
            </w:r>
            <w:r>
              <w:rPr>
                <w:sz w:val="24"/>
                <w:szCs w:val="24"/>
              </w:rPr>
              <w:t xml:space="preserve"> Septe</w:t>
            </w:r>
            <w:r>
              <w:rPr>
                <w:sz w:val="24"/>
                <w:szCs w:val="24"/>
                <w:lang w:val="en-US"/>
              </w:rPr>
              <w:t>m</w:t>
            </w:r>
            <w:r>
              <w:rPr>
                <w:sz w:val="24"/>
                <w:szCs w:val="24"/>
              </w:rPr>
              <w:t>ber</w:t>
            </w:r>
            <w:r w:rsidRPr="00336636">
              <w:rPr>
                <w:sz w:val="24"/>
                <w:szCs w:val="24"/>
              </w:rPr>
              <w:t xml:space="preserve"> 2016</w:t>
            </w:r>
          </w:p>
        </w:tc>
        <w:tc>
          <w:tcPr>
            <w:tcW w:w="4284" w:type="dxa"/>
            <w:tcBorders>
              <w:top w:val="nil"/>
              <w:left w:val="nil"/>
              <w:bottom w:val="single" w:sz="4" w:space="0" w:color="auto"/>
              <w:right w:val="single" w:sz="4" w:space="0" w:color="auto"/>
            </w:tcBorders>
            <w:vAlign w:val="bottom"/>
          </w:tcPr>
          <w:p w:rsidR="004C019C" w:rsidRPr="00A765F2" w:rsidRDefault="004C019C" w:rsidP="00CF5B0B">
            <w:pPr>
              <w:spacing w:line="276" w:lineRule="auto"/>
              <w:rPr>
                <w:sz w:val="24"/>
                <w:szCs w:val="24"/>
              </w:rPr>
            </w:pPr>
            <w:r w:rsidRPr="00336636">
              <w:rPr>
                <w:sz w:val="24"/>
                <w:szCs w:val="24"/>
              </w:rPr>
              <w:t xml:space="preserve">stamp </w:t>
            </w:r>
          </w:p>
        </w:tc>
      </w:tr>
    </w:tbl>
    <w:p w:rsidR="004C019C" w:rsidRPr="00A765F2" w:rsidRDefault="004C019C" w:rsidP="004C019C">
      <w:pPr>
        <w:rPr>
          <w:sz w:val="24"/>
          <w:szCs w:val="24"/>
        </w:rPr>
      </w:pPr>
    </w:p>
    <w:p w:rsidR="00296764" w:rsidRDefault="00296764"/>
    <w:sectPr w:rsidR="00296764" w:rsidSect="00096E83">
      <w:pgSz w:w="11906" w:h="16838"/>
      <w:pgMar w:top="284" w:right="567" w:bottom="142" w:left="1134" w:header="397" w:footer="284"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9C"/>
    <w:rsid w:val="00296764"/>
    <w:rsid w:val="004C0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9E57A-4A6D-4EE9-9A2A-0D799C73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19C"/>
    <w:pPr>
      <w:autoSpaceDE w:val="0"/>
      <w:autoSpaceDN w:val="0"/>
      <w:spacing w:after="0" w:line="240" w:lineRule="auto"/>
    </w:pPr>
    <w:rPr>
      <w:rFonts w:ascii="Times New Roman" w:eastAsia="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019C"/>
    <w:rPr>
      <w:color w:val="0000FF"/>
      <w:u w:val="single"/>
    </w:rPr>
  </w:style>
  <w:style w:type="paragraph" w:customStyle="1" w:styleId="ConsPlusNormal">
    <w:name w:val="ConsPlusNormal"/>
    <w:rsid w:val="004C019C"/>
    <w:pPr>
      <w:autoSpaceDE w:val="0"/>
      <w:autoSpaceDN w:val="0"/>
      <w:adjustRightInd w:val="0"/>
      <w:spacing w:after="0" w:line="240" w:lineRule="auto"/>
    </w:pPr>
    <w:rPr>
      <w:rFonts w:ascii="Times New Roman" w:eastAsia="Times New Roman" w:hAnsi="Times New Roman" w:cs="Times New Roman"/>
      <w:b/>
      <w:bCs/>
      <w:lang w:eastAsia="ru-RU"/>
    </w:rPr>
  </w:style>
  <w:style w:type="paragraph" w:styleId="a4">
    <w:name w:val="No Spacing"/>
    <w:basedOn w:val="a"/>
    <w:uiPriority w:val="1"/>
    <w:qFormat/>
    <w:rsid w:val="004C019C"/>
    <w:rPr>
      <w:rFonts w:eastAsia="Calibri"/>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2827" TargetMode="External"/><Relationship Id="rId4"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573</Words>
  <Characters>3269</Characters>
  <Application>Microsoft Office Word</Application>
  <DocSecurity>0</DocSecurity>
  <Lines>27</Lines>
  <Paragraphs>7</Paragraphs>
  <ScaleCrop>false</ScaleCrop>
  <Company>Home</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2016-09-25T19:36:00Z</dcterms:created>
  <dcterms:modified xsi:type="dcterms:W3CDTF">2016-09-25T19:48:00Z</dcterms:modified>
</cp:coreProperties>
</file>