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F5" w:rsidRPr="00B45792" w:rsidRDefault="005D4AF5" w:rsidP="00862CAC">
      <w:pPr>
        <w:jc w:val="center"/>
        <w:rPr>
          <w:b/>
          <w:lang w:val="en-US"/>
        </w:rPr>
      </w:pPr>
      <w:r w:rsidRPr="00B45792">
        <w:rPr>
          <w:b/>
          <w:lang w:val="en-US"/>
        </w:rPr>
        <w:t>Corporate action statement</w:t>
      </w:r>
    </w:p>
    <w:p w:rsidR="005D4AF5" w:rsidRPr="00B45792" w:rsidRDefault="005D4AF5" w:rsidP="00862CAC">
      <w:pPr>
        <w:jc w:val="center"/>
        <w:rPr>
          <w:b/>
          <w:bCs/>
          <w:shd w:val="clear" w:color="auto" w:fill="FFFFFF"/>
          <w:lang w:val="en-US"/>
        </w:rPr>
      </w:pPr>
      <w:r w:rsidRPr="00B45792">
        <w:rPr>
          <w:b/>
          <w:bCs/>
          <w:shd w:val="clear" w:color="auto" w:fill="FFFFFF"/>
          <w:lang w:val="en-US"/>
        </w:rPr>
        <w:t>“</w:t>
      </w:r>
      <w:r w:rsidRPr="00B45792">
        <w:rPr>
          <w:b/>
          <w:bCs/>
          <w:shd w:val="clear" w:color="auto" w:fill="FFFFFF"/>
          <w:lang w:val="en-US"/>
        </w:rPr>
        <w:t>On</w:t>
      </w:r>
      <w:r w:rsidRPr="00B45792">
        <w:rPr>
          <w:b/>
          <w:bCs/>
          <w:shd w:val="clear" w:color="auto" w:fill="FFFFFF"/>
          <w:lang w:val="en-US"/>
        </w:rPr>
        <w:t xml:space="preserve"> </w:t>
      </w:r>
      <w:r w:rsidRPr="00B45792">
        <w:rPr>
          <w:b/>
          <w:bCs/>
          <w:shd w:val="clear" w:color="auto" w:fill="FFFFFF"/>
          <w:lang w:val="en-US"/>
        </w:rPr>
        <w:t xml:space="preserve">accrued and (or) paid </w:t>
      </w:r>
      <w:r w:rsidRPr="00B45792">
        <w:rPr>
          <w:b/>
          <w:bCs/>
          <w:shd w:val="clear" w:color="auto" w:fill="FFFFFF"/>
          <w:lang w:val="en-US"/>
        </w:rPr>
        <w:t>income on the issuer’s securities”</w:t>
      </w:r>
    </w:p>
    <w:p w:rsidR="005D4AF5" w:rsidRPr="00B45792" w:rsidRDefault="005D4AF5" w:rsidP="00862CAC">
      <w:pPr>
        <w:jc w:val="center"/>
        <w:rPr>
          <w:b/>
          <w:lang w:val="en-US"/>
        </w:rPr>
      </w:pPr>
      <w:r w:rsidRPr="00B45792">
        <w:rPr>
          <w:b/>
          <w:bCs/>
          <w:shd w:val="clear" w:color="auto" w:fill="FFFFFF"/>
          <w:lang w:val="en-US"/>
        </w:rPr>
        <w:t xml:space="preserve">“On </w:t>
      </w:r>
      <w:r w:rsidRPr="00B45792">
        <w:rPr>
          <w:b/>
          <w:lang w:val="en-US"/>
        </w:rPr>
        <w:t xml:space="preserve">the </w:t>
      </w:r>
      <w:r w:rsidRPr="00B45792">
        <w:rPr>
          <w:b/>
          <w:lang w:val="en-US"/>
        </w:rPr>
        <w:t>i</w:t>
      </w:r>
      <w:r w:rsidRPr="00B45792">
        <w:rPr>
          <w:b/>
          <w:lang w:val="en-US"/>
        </w:rPr>
        <w:t>ssuer’s</w:t>
      </w:r>
      <w:r w:rsidRPr="00B45792">
        <w:rPr>
          <w:b/>
          <w:lang w:val="en-US"/>
        </w:rPr>
        <w:t xml:space="preserve"> failure to perform </w:t>
      </w:r>
      <w:r w:rsidRPr="00B45792">
        <w:rPr>
          <w:b/>
          <w:lang w:val="en-US"/>
        </w:rPr>
        <w:t xml:space="preserve">obligations to the owner of the </w:t>
      </w:r>
      <w:r w:rsidRPr="00B45792">
        <w:rPr>
          <w:b/>
          <w:lang w:val="en-US"/>
        </w:rPr>
        <w:t>i</w:t>
      </w:r>
      <w:r w:rsidRPr="00B45792">
        <w:rPr>
          <w:b/>
          <w:lang w:val="en-US"/>
        </w:rPr>
        <w:t xml:space="preserve">ssuer’s </w:t>
      </w:r>
      <w:r w:rsidRPr="00B45792">
        <w:rPr>
          <w:b/>
          <w:bCs/>
          <w:shd w:val="clear" w:color="auto" w:fill="FFFFFF"/>
          <w:lang w:val="en-US"/>
        </w:rPr>
        <w:t>securities</w:t>
      </w:r>
      <w:r w:rsidRPr="00B45792">
        <w:rPr>
          <w:b/>
          <w:bCs/>
          <w:shd w:val="clear" w:color="auto" w:fill="FFFFFF"/>
          <w:lang w:val="en-US"/>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B45792" w:rsidRPr="00B45792" w:rsidTr="002D03AF">
        <w:tc>
          <w:tcPr>
            <w:tcW w:w="10206" w:type="dxa"/>
            <w:gridSpan w:val="4"/>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numPr>
                <w:ilvl w:val="0"/>
                <w:numId w:val="1"/>
              </w:numPr>
              <w:spacing w:after="120"/>
              <w:jc w:val="both"/>
              <w:rPr>
                <w:rFonts w:ascii="Times New Roman" w:hAnsi="Times New Roman"/>
                <w:sz w:val="24"/>
                <w:szCs w:val="24"/>
              </w:rPr>
            </w:pPr>
            <w:r w:rsidRPr="00B45792">
              <w:rPr>
                <w:rFonts w:ascii="Times New Roman" w:hAnsi="Times New Roman"/>
                <w:sz w:val="24"/>
                <w:szCs w:val="24"/>
                <w:lang w:val="en-US"/>
              </w:rPr>
              <w:t>General data</w:t>
            </w:r>
          </w:p>
        </w:tc>
      </w:tr>
      <w:tr w:rsidR="00B45792" w:rsidRPr="00B45792" w:rsidTr="002D03AF">
        <w:trPr>
          <w:trHeight w:val="599"/>
        </w:trPr>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rPr>
            </w:pPr>
            <w:r w:rsidRPr="00B45792">
              <w:rPr>
                <w:rFonts w:ascii="Times New Roman" w:hAnsi="Times New Roman"/>
                <w:sz w:val="24"/>
                <w:szCs w:val="24"/>
              </w:rPr>
              <w:t>1.1</w:t>
            </w:r>
            <w:r w:rsidRPr="00B45792">
              <w:rPr>
                <w:rFonts w:ascii="Times New Roman" w:hAnsi="Times New Roman"/>
                <w:sz w:val="24"/>
                <w:szCs w:val="24"/>
                <w:lang w:val="en-US"/>
              </w:rPr>
              <w:t xml:space="preserve">. </w:t>
            </w:r>
            <w:proofErr w:type="spellStart"/>
            <w:r w:rsidRPr="00B45792">
              <w:rPr>
                <w:rFonts w:ascii="Times New Roman" w:hAnsi="Times New Roman"/>
                <w:sz w:val="24"/>
                <w:szCs w:val="24"/>
              </w:rPr>
              <w:t>Issuer’s</w:t>
            </w:r>
            <w:proofErr w:type="spellEnd"/>
            <w:r w:rsidRPr="00B45792">
              <w:rPr>
                <w:rFonts w:ascii="Times New Roman" w:hAnsi="Times New Roman"/>
                <w:sz w:val="24"/>
                <w:szCs w:val="24"/>
                <w:lang w:val="en-US"/>
              </w:rPr>
              <w:t xml:space="preserve">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lang w:val="en-US"/>
              </w:rPr>
              <w:t>Public joint-stock company of power industry  and electrification of Kuban</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rPr>
            </w:pPr>
            <w:r w:rsidRPr="00B45792">
              <w:rPr>
                <w:rFonts w:ascii="Times New Roman" w:hAnsi="Times New Roman"/>
                <w:sz w:val="24"/>
                <w:szCs w:val="24"/>
              </w:rPr>
              <w:t xml:space="preserve">1.2. </w:t>
            </w:r>
            <w:r w:rsidRPr="00B45792">
              <w:rPr>
                <w:rFonts w:ascii="Times New Roman" w:hAnsi="Times New Roman"/>
                <w:sz w:val="24"/>
                <w:szCs w:val="24"/>
                <w:lang w:val="en-US"/>
              </w:rPr>
              <w:t>Issuer</w:t>
            </w:r>
            <w:r w:rsidRPr="00B45792">
              <w:rPr>
                <w:rFonts w:ascii="Times New Roman" w:hAnsi="Times New Roman"/>
                <w:sz w:val="24"/>
                <w:szCs w:val="24"/>
              </w:rPr>
              <w:t>’</w:t>
            </w:r>
            <w:r w:rsidRPr="00B45792">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rPr>
            </w:pPr>
            <w:r w:rsidRPr="00B45792">
              <w:rPr>
                <w:rFonts w:ascii="Times New Roman" w:hAnsi="Times New Roman"/>
                <w:sz w:val="24"/>
                <w:szCs w:val="24"/>
                <w:lang w:val="en-US"/>
              </w:rPr>
              <w:t>“Kubanenergo” PJSC</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rPr>
              <w:t xml:space="preserve">1.3. </w:t>
            </w:r>
            <w:r w:rsidRPr="00B45792">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spacing w:after="120"/>
              <w:jc w:val="both"/>
              <w:rPr>
                <w:lang w:val="en-US" w:eastAsia="en-US"/>
              </w:rPr>
            </w:pPr>
            <w:r w:rsidRPr="00B45792">
              <w:rPr>
                <w:lang w:val="en-US" w:eastAsia="en-US"/>
              </w:rPr>
              <w:t xml:space="preserve">Krasnodar, Russian </w:t>
            </w:r>
            <w:r w:rsidRPr="00B45792">
              <w:rPr>
                <w:lang w:val="en-US" w:eastAsia="en-US"/>
              </w:rPr>
              <w:t>F</w:t>
            </w:r>
            <w:r w:rsidRPr="00B45792">
              <w:rPr>
                <w:lang w:val="en-US" w:eastAsia="en-US"/>
              </w:rPr>
              <w:t>ederation, 350033</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rPr>
              <w:t xml:space="preserve">1.4. </w:t>
            </w:r>
            <w:r w:rsidRPr="00B45792">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rPr>
            </w:pPr>
            <w:r w:rsidRPr="00B45792">
              <w:rPr>
                <w:rFonts w:ascii="Times New Roman" w:hAnsi="Times New Roman"/>
                <w:sz w:val="24"/>
                <w:szCs w:val="24"/>
              </w:rPr>
              <w:t>1022301427268</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rPr>
              <w:t xml:space="preserve">1.5. </w:t>
            </w:r>
            <w:r w:rsidRPr="00B45792">
              <w:rPr>
                <w:rFonts w:ascii="Times New Roman" w:hAnsi="Times New Roman"/>
                <w:sz w:val="24"/>
                <w:szCs w:val="24"/>
                <w:lang w:val="en-US"/>
              </w:rPr>
              <w:t>Issuer’s TIN</w:t>
            </w:r>
            <w:bookmarkStart w:id="0" w:name="_GoBack"/>
            <w:bookmarkEnd w:id="0"/>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rPr>
            </w:pPr>
            <w:r w:rsidRPr="00B45792">
              <w:rPr>
                <w:rFonts w:ascii="Times New Roman" w:hAnsi="Times New Roman"/>
                <w:sz w:val="24"/>
                <w:szCs w:val="24"/>
              </w:rPr>
              <w:t>2309001660</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rPr>
              <w:t>00063-</w:t>
            </w:r>
            <w:r w:rsidRPr="00B45792">
              <w:rPr>
                <w:rFonts w:ascii="Times New Roman" w:hAnsi="Times New Roman"/>
                <w:sz w:val="24"/>
                <w:szCs w:val="24"/>
                <w:lang w:val="en-US"/>
              </w:rPr>
              <w:t>A</w:t>
            </w:r>
          </w:p>
        </w:tc>
      </w:tr>
      <w:tr w:rsidR="00B45792" w:rsidRPr="00B45792" w:rsidTr="002D03AF">
        <w:tc>
          <w:tcPr>
            <w:tcW w:w="4536" w:type="dxa"/>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pStyle w:val="a4"/>
              <w:spacing w:after="120"/>
              <w:jc w:val="both"/>
              <w:rPr>
                <w:rFonts w:ascii="Times New Roman" w:hAnsi="Times New Roman"/>
                <w:sz w:val="24"/>
                <w:szCs w:val="24"/>
                <w:lang w:val="en-US"/>
              </w:rPr>
            </w:pPr>
            <w:r w:rsidRPr="00B45792">
              <w:rPr>
                <w:rFonts w:ascii="Times New Roman" w:hAnsi="Times New Roman"/>
                <w:sz w:val="24"/>
                <w:szCs w:val="24"/>
                <w:lang w:val="en-US"/>
              </w:rPr>
              <w:t xml:space="preserve">1.7. </w:t>
            </w:r>
            <w:r w:rsidRPr="00B45792">
              <w:rPr>
                <w:rStyle w:val="apple-converted-space"/>
                <w:rFonts w:ascii="Times New Roman" w:hAnsi="Times New Roman"/>
                <w:sz w:val="24"/>
                <w:szCs w:val="24"/>
                <w:shd w:val="clear" w:color="auto" w:fill="FFFFFF"/>
                <w:lang w:val="en-US"/>
              </w:rPr>
              <w:t> </w:t>
            </w:r>
            <w:r w:rsidRPr="00B45792">
              <w:rPr>
                <w:rFonts w:ascii="Times New Roman" w:hAnsi="Times New Roman"/>
                <w:sz w:val="24"/>
                <w:szCs w:val="24"/>
                <w:shd w:val="clear" w:color="auto" w:fill="FFFFFF"/>
                <w:lang w:val="en-US"/>
              </w:rPr>
              <w:t>Web-page on the Internet</w:t>
            </w:r>
            <w:r w:rsidRPr="00B45792">
              <w:rPr>
                <w:rFonts w:ascii="Times New Roman" w:hAnsi="Times New Roman"/>
                <w:sz w:val="24"/>
                <w:szCs w:val="24"/>
                <w:shd w:val="clear" w:color="auto" w:fill="FFFFFF"/>
                <w:lang w:val="en-US"/>
              </w:rPr>
              <w:t xml:space="preserve"> for disclosure of information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5D4AF5" w:rsidRPr="00B45792" w:rsidRDefault="005D4AF5" w:rsidP="00B45792">
            <w:pPr>
              <w:spacing w:after="120"/>
              <w:jc w:val="both"/>
              <w:rPr>
                <w:rStyle w:val="a3"/>
                <w:color w:val="auto"/>
                <w:lang w:val="en-US"/>
              </w:rPr>
            </w:pPr>
            <w:r w:rsidRPr="00B45792">
              <w:rPr>
                <w:lang w:val="en-US" w:eastAsia="en-US"/>
              </w:rPr>
              <w:t>http://</w:t>
            </w:r>
            <w:hyperlink r:id="rId5" w:history="1">
              <w:r w:rsidRPr="00B45792">
                <w:rPr>
                  <w:rStyle w:val="a3"/>
                  <w:color w:val="auto"/>
                  <w:lang w:val="en-US" w:eastAsia="en-US"/>
                </w:rPr>
                <w:t>www.kubanenergo.ru</w:t>
              </w:r>
            </w:hyperlink>
          </w:p>
          <w:p w:rsidR="005D4AF5" w:rsidRPr="00B45792" w:rsidRDefault="005D4AF5" w:rsidP="00B45792">
            <w:pPr>
              <w:pStyle w:val="a4"/>
              <w:spacing w:after="120"/>
              <w:jc w:val="both"/>
              <w:rPr>
                <w:rFonts w:ascii="Times New Roman" w:hAnsi="Times New Roman"/>
                <w:sz w:val="24"/>
                <w:szCs w:val="24"/>
                <w:lang w:val="en-US"/>
              </w:rPr>
            </w:pPr>
            <w:hyperlink r:id="rId6" w:history="1">
              <w:r w:rsidRPr="00B45792">
                <w:rPr>
                  <w:rStyle w:val="a3"/>
                  <w:rFonts w:ascii="Times New Roman" w:hAnsi="Times New Roman"/>
                  <w:color w:val="auto"/>
                  <w:sz w:val="24"/>
                  <w:szCs w:val="24"/>
                  <w:lang w:val="en-US"/>
                </w:rPr>
                <w:t>http://www.e-disclosure.ru/portal/company.aspx?id=2827</w:t>
              </w:r>
            </w:hyperlink>
          </w:p>
        </w:tc>
      </w:tr>
      <w:tr w:rsidR="00B45792" w:rsidRPr="00B45792" w:rsidTr="002D03A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D4AF5" w:rsidRPr="00B45792" w:rsidRDefault="005D4AF5" w:rsidP="00B45792">
            <w:pPr>
              <w:widowControl w:val="0"/>
              <w:shd w:val="clear" w:color="auto" w:fill="FFFFFF"/>
              <w:tabs>
                <w:tab w:val="left" w:pos="432"/>
              </w:tabs>
              <w:adjustRightInd w:val="0"/>
              <w:spacing w:after="120"/>
              <w:jc w:val="both"/>
              <w:rPr>
                <w:b/>
                <w:bCs/>
                <w:lang w:val="en-US" w:eastAsia="en-US"/>
              </w:rPr>
            </w:pPr>
            <w:r w:rsidRPr="00B45792">
              <w:rPr>
                <w:lang w:val="en-US" w:eastAsia="en-US"/>
              </w:rPr>
              <w:t>2. Statement content</w:t>
            </w:r>
          </w:p>
        </w:tc>
      </w:tr>
      <w:tr w:rsidR="00B45792" w:rsidRPr="00B45792" w:rsidTr="002D03A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D4AF5" w:rsidRPr="00B45792" w:rsidRDefault="005D4AF5" w:rsidP="00B45792">
            <w:pPr>
              <w:adjustRightInd w:val="0"/>
              <w:jc w:val="both"/>
              <w:rPr>
                <w:shd w:val="clear" w:color="auto" w:fill="FFFFFF"/>
                <w:lang w:val="en-US"/>
              </w:rPr>
            </w:pPr>
            <w:r w:rsidRPr="00B45792">
              <w:rPr>
                <w:shd w:val="clear" w:color="auto" w:fill="FFFFFF"/>
                <w:lang w:val="en-US"/>
              </w:rPr>
              <w:t>2.</w:t>
            </w:r>
            <w:r w:rsidRPr="00B45792">
              <w:rPr>
                <w:shd w:val="clear" w:color="auto" w:fill="FFFFFF"/>
                <w:lang w:val="en-US"/>
              </w:rPr>
              <w:t xml:space="preserve">1.Kind, category (type), series and other identifications of the issuer’s securities on which income has </w:t>
            </w:r>
            <w:r w:rsidRPr="00B45792">
              <w:rPr>
                <w:shd w:val="clear" w:color="auto" w:fill="FFFFFF"/>
                <w:lang w:val="en-US"/>
              </w:rPr>
              <w:t>a</w:t>
            </w:r>
            <w:r w:rsidRPr="00B45792">
              <w:rPr>
                <w:shd w:val="clear" w:color="auto" w:fill="FFFFFF"/>
                <w:lang w:val="en-US"/>
              </w:rPr>
              <w:t xml:space="preserve">ccrued: </w:t>
            </w:r>
          </w:p>
          <w:p w:rsidR="005D4AF5" w:rsidRPr="00B45792" w:rsidRDefault="005D4AF5" w:rsidP="00B45792">
            <w:pPr>
              <w:adjustRightInd w:val="0"/>
              <w:jc w:val="both"/>
              <w:rPr>
                <w:shd w:val="clear" w:color="auto" w:fill="FFFFFF"/>
                <w:lang w:val="en-US"/>
              </w:rPr>
            </w:pPr>
            <w:r w:rsidRPr="00B45792">
              <w:rPr>
                <w:shd w:val="clear" w:color="auto" w:fill="FFFFFF"/>
                <w:lang w:val="en-US"/>
              </w:rPr>
              <w:t>Kind, category (type)</w:t>
            </w:r>
            <w:r w:rsidRPr="00B45792">
              <w:rPr>
                <w:shd w:val="clear" w:color="auto" w:fill="FFFFFF"/>
                <w:lang w:val="en-US"/>
              </w:rPr>
              <w:t xml:space="preserve">: </w:t>
            </w:r>
            <w:r w:rsidRPr="00B45792">
              <w:rPr>
                <w:b/>
                <w:shd w:val="clear" w:color="auto" w:fill="FFFFFF"/>
                <w:lang w:val="en-US"/>
              </w:rPr>
              <w:t>ordinary shares</w:t>
            </w:r>
          </w:p>
          <w:p w:rsidR="005D4AF5" w:rsidRPr="00B45792" w:rsidRDefault="005D4AF5" w:rsidP="00B45792">
            <w:pPr>
              <w:adjustRightInd w:val="0"/>
              <w:jc w:val="both"/>
              <w:rPr>
                <w:shd w:val="clear" w:color="auto" w:fill="FFFFFF"/>
                <w:lang w:val="en-US"/>
              </w:rPr>
            </w:pPr>
            <w:r w:rsidRPr="00B45792">
              <w:rPr>
                <w:lang w:val="en-US"/>
              </w:rPr>
              <w:t xml:space="preserve">State registration number of the issue (additional issue) of the </w:t>
            </w:r>
            <w:r w:rsidRPr="00B45792">
              <w:rPr>
                <w:lang w:val="en-US"/>
              </w:rPr>
              <w:t>issuer’s</w:t>
            </w:r>
            <w:r w:rsidRPr="00B45792">
              <w:rPr>
                <w:lang w:val="en-US"/>
              </w:rPr>
              <w:t xml:space="preserve"> securities and date of state registration (identification number of the issue (additional issue) of the </w:t>
            </w:r>
            <w:r w:rsidRPr="00B45792">
              <w:rPr>
                <w:lang w:val="en-US"/>
              </w:rPr>
              <w:t>i</w:t>
            </w:r>
            <w:r w:rsidRPr="00B45792">
              <w:rPr>
                <w:lang w:val="en-US"/>
              </w:rPr>
              <w:t xml:space="preserve">ssuer’s securities and date of </w:t>
            </w:r>
            <w:r w:rsidRPr="00B45792">
              <w:rPr>
                <w:lang w:val="en-US"/>
              </w:rPr>
              <w:t xml:space="preserve">its assignment): </w:t>
            </w:r>
            <w:r w:rsidRPr="00B45792">
              <w:rPr>
                <w:b/>
                <w:lang w:val="en-US"/>
              </w:rPr>
              <w:t>1-02-0063-A dated 08.07.2003</w:t>
            </w:r>
            <w:r w:rsidRPr="00B45792">
              <w:rPr>
                <w:lang w:val="en-US"/>
              </w:rPr>
              <w:t>.</w:t>
            </w:r>
          </w:p>
          <w:p w:rsidR="005D4AF5" w:rsidRPr="00B45792" w:rsidRDefault="005D4AF5" w:rsidP="00B45792">
            <w:pPr>
              <w:adjustRightInd w:val="0"/>
              <w:jc w:val="both"/>
              <w:rPr>
                <w:b/>
                <w:lang w:val="en-US"/>
              </w:rPr>
            </w:pPr>
            <w:r w:rsidRPr="00B45792">
              <w:rPr>
                <w:lang w:val="en-US"/>
              </w:rPr>
              <w:t xml:space="preserve">International Securities Identification Number (ISIN): </w:t>
            </w:r>
            <w:r w:rsidRPr="00B45792">
              <w:rPr>
                <w:b/>
                <w:lang w:val="en-US"/>
              </w:rPr>
              <w:t>RU0009046767</w:t>
            </w:r>
          </w:p>
          <w:p w:rsidR="005D4AF5" w:rsidRPr="00B45792" w:rsidRDefault="005D4AF5" w:rsidP="00B45792">
            <w:pPr>
              <w:adjustRightInd w:val="0"/>
              <w:jc w:val="both"/>
              <w:rPr>
                <w:lang w:val="en-US"/>
              </w:rPr>
            </w:pPr>
            <w:r w:rsidRPr="00B45792">
              <w:rPr>
                <w:lang w:val="en-US"/>
              </w:rPr>
              <w:t xml:space="preserve">2.2. </w:t>
            </w:r>
            <w:r w:rsidRPr="00B45792">
              <w:rPr>
                <w:lang w:val="en-US"/>
              </w:rPr>
              <w:t xml:space="preserve">Issuer's obligation, </w:t>
            </w:r>
            <w:r w:rsidRPr="00B45792">
              <w:rPr>
                <w:lang w:val="en-US"/>
              </w:rPr>
              <w:t xml:space="preserve">and </w:t>
            </w:r>
            <w:r w:rsidRPr="00B45792">
              <w:rPr>
                <w:lang w:val="en-US"/>
              </w:rPr>
              <w:t>for money obligations or other commitment that can be expressed in monetary terms</w:t>
            </w:r>
            <w:r w:rsidR="00B45792" w:rsidRPr="00B45792">
              <w:rPr>
                <w:lang w:val="en-US"/>
              </w:rPr>
              <w:t xml:space="preserve"> – </w:t>
            </w:r>
            <w:r w:rsidRPr="00B45792">
              <w:rPr>
                <w:lang w:val="en-US"/>
              </w:rPr>
              <w:t xml:space="preserve"> amount of such commitment in monetary terms:</w:t>
            </w:r>
          </w:p>
          <w:p w:rsidR="005D4AF5" w:rsidRPr="00B45792" w:rsidRDefault="005D4AF5" w:rsidP="00B45792">
            <w:pPr>
              <w:adjustRightInd w:val="0"/>
              <w:jc w:val="both"/>
              <w:rPr>
                <w:b/>
                <w:lang w:val="en-US"/>
              </w:rPr>
            </w:pPr>
            <w:proofErr w:type="gramStart"/>
            <w:r w:rsidRPr="00B45792">
              <w:rPr>
                <w:b/>
                <w:lang w:val="en-US"/>
              </w:rPr>
              <w:t>payment</w:t>
            </w:r>
            <w:proofErr w:type="gramEnd"/>
            <w:r w:rsidRPr="00B45792">
              <w:rPr>
                <w:b/>
                <w:lang w:val="en-US"/>
              </w:rPr>
              <w:t xml:space="preserve"> of dividends on ordinary shares of the Company for 2015, the size of the obligation in </w:t>
            </w:r>
            <w:r w:rsidR="00B45792" w:rsidRPr="00B45792">
              <w:rPr>
                <w:b/>
                <w:lang w:val="en-US"/>
              </w:rPr>
              <w:t>monetary terms</w:t>
            </w:r>
            <w:r w:rsidRPr="00B45792">
              <w:rPr>
                <w:b/>
                <w:lang w:val="en-US"/>
              </w:rPr>
              <w:t xml:space="preserve"> </w:t>
            </w:r>
            <w:r w:rsidR="00B45792" w:rsidRPr="00B45792">
              <w:rPr>
                <w:b/>
                <w:lang w:val="en-US"/>
              </w:rPr>
              <w:t>–</w:t>
            </w:r>
            <w:r w:rsidRPr="00B45792">
              <w:rPr>
                <w:b/>
                <w:lang w:val="en-US"/>
              </w:rPr>
              <w:t xml:space="preserve"> 1</w:t>
            </w:r>
            <w:r w:rsidR="00B45792" w:rsidRPr="00B45792">
              <w:rPr>
                <w:b/>
                <w:lang w:val="en-US"/>
              </w:rPr>
              <w:t> </w:t>
            </w:r>
            <w:r w:rsidRPr="00B45792">
              <w:rPr>
                <w:b/>
                <w:lang w:val="en-US"/>
              </w:rPr>
              <w:t>144</w:t>
            </w:r>
            <w:r w:rsidR="00B45792" w:rsidRPr="00B45792">
              <w:rPr>
                <w:b/>
                <w:lang w:val="en-US"/>
              </w:rPr>
              <w:t xml:space="preserve"> 797 thousand rubles.</w:t>
            </w:r>
          </w:p>
          <w:p w:rsidR="005D4AF5" w:rsidRPr="00B45792" w:rsidRDefault="005D4AF5" w:rsidP="00B45792">
            <w:pPr>
              <w:adjustRightInd w:val="0"/>
              <w:jc w:val="both"/>
              <w:rPr>
                <w:lang w:val="en-US"/>
              </w:rPr>
            </w:pPr>
            <w:r w:rsidRPr="00B45792">
              <w:rPr>
                <w:lang w:val="en-US"/>
              </w:rPr>
              <w:t>2.</w:t>
            </w:r>
            <w:r w:rsidRPr="00B45792">
              <w:rPr>
                <w:lang w:val="en-US"/>
              </w:rPr>
              <w:t>3. Reporting (coupon) period (year, quarter, or the start and end of the coupon period) for which the yield is paid on the issuer's securities:</w:t>
            </w:r>
            <w:r w:rsidR="00B45792" w:rsidRPr="00B45792">
              <w:rPr>
                <w:lang w:val="en-US"/>
              </w:rPr>
              <w:t xml:space="preserve"> </w:t>
            </w:r>
            <w:r w:rsidR="00B45792" w:rsidRPr="00B45792">
              <w:rPr>
                <w:b/>
                <w:lang w:val="en-US"/>
              </w:rPr>
              <w:t>2015</w:t>
            </w:r>
          </w:p>
          <w:p w:rsidR="005D4AF5" w:rsidRPr="00B45792" w:rsidRDefault="005D4AF5" w:rsidP="00B45792">
            <w:pPr>
              <w:tabs>
                <w:tab w:val="left" w:pos="344"/>
              </w:tabs>
              <w:jc w:val="both"/>
              <w:rPr>
                <w:lang w:val="en-US"/>
              </w:rPr>
            </w:pPr>
            <w:r w:rsidRPr="00B45792">
              <w:rPr>
                <w:lang w:val="en-US"/>
              </w:rPr>
              <w:t>2.</w:t>
            </w:r>
            <w:r w:rsidRPr="00B45792">
              <w:rPr>
                <w:lang w:val="en-US"/>
              </w:rPr>
              <w:t>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B45792" w:rsidRPr="00B45792" w:rsidRDefault="00B45792" w:rsidP="00B45792">
            <w:pPr>
              <w:tabs>
                <w:tab w:val="left" w:pos="344"/>
              </w:tabs>
              <w:jc w:val="both"/>
              <w:rPr>
                <w:lang w:val="en-US"/>
              </w:rPr>
            </w:pPr>
            <w:r w:rsidRPr="00B45792">
              <w:rPr>
                <w:lang w:val="en-US"/>
              </w:rPr>
              <w:t>1 144 797 thousand rubles / 4.047105 rubles per one ordinary share of the Company</w:t>
            </w:r>
          </w:p>
          <w:p w:rsidR="005D4AF5" w:rsidRPr="00B45792" w:rsidRDefault="005D4AF5" w:rsidP="00B45792">
            <w:pPr>
              <w:tabs>
                <w:tab w:val="left" w:pos="344"/>
              </w:tabs>
              <w:jc w:val="both"/>
              <w:rPr>
                <w:shd w:val="clear" w:color="auto" w:fill="FFFFFF"/>
                <w:lang w:val="en-US"/>
              </w:rPr>
            </w:pPr>
            <w:r w:rsidRPr="00B45792">
              <w:rPr>
                <w:lang w:val="en-US"/>
              </w:rPr>
              <w:t>2.</w:t>
            </w:r>
            <w:r w:rsidRPr="00B45792">
              <w:rPr>
                <w:lang w:val="en-US"/>
              </w:rPr>
              <w:t>5.</w:t>
            </w:r>
            <w:r w:rsidRPr="00B45792">
              <w:rPr>
                <w:shd w:val="clear" w:color="auto" w:fill="FFFFFF"/>
                <w:lang w:val="en-US"/>
              </w:rPr>
              <w:t xml:space="preserve"> Total number of the issuer’s securities (number of the issuer’s shares of a specific category (type); number of bonds of a specific issue (series) income whereon is payable): </w:t>
            </w:r>
          </w:p>
          <w:p w:rsidR="005D4AF5" w:rsidRPr="00B45792" w:rsidRDefault="00B45792" w:rsidP="00B45792">
            <w:pPr>
              <w:tabs>
                <w:tab w:val="left" w:pos="344"/>
              </w:tabs>
              <w:jc w:val="both"/>
              <w:rPr>
                <w:b/>
                <w:lang w:val="en-US"/>
              </w:rPr>
            </w:pPr>
            <w:r w:rsidRPr="00B45792">
              <w:rPr>
                <w:b/>
                <w:shd w:val="clear" w:color="auto" w:fill="FFFFFF"/>
                <w:lang w:val="en-US"/>
              </w:rPr>
              <w:t xml:space="preserve">282 868 130 shares </w:t>
            </w:r>
          </w:p>
          <w:p w:rsidR="00B45792" w:rsidRPr="00B45792" w:rsidRDefault="005D4AF5" w:rsidP="00B45792">
            <w:pPr>
              <w:shd w:val="clear" w:color="auto" w:fill="FFFFFF"/>
              <w:spacing w:line="210" w:lineRule="atLeast"/>
              <w:jc w:val="both"/>
              <w:rPr>
                <w:b/>
                <w:bCs/>
                <w:lang w:val="en-US"/>
              </w:rPr>
            </w:pPr>
            <w:r w:rsidRPr="00B45792">
              <w:rPr>
                <w:lang w:val="en-US"/>
              </w:rPr>
              <w:t>2.</w:t>
            </w:r>
            <w:r w:rsidRPr="00B45792">
              <w:rPr>
                <w:lang w:val="en-US"/>
              </w:rPr>
              <w:t>6. Form of payment of income on the issuer’s securities (mon</w:t>
            </w:r>
            <w:r w:rsidR="00B45792" w:rsidRPr="00B45792">
              <w:rPr>
                <w:lang w:val="en-US"/>
              </w:rPr>
              <w:t xml:space="preserve">eys, other property): </w:t>
            </w:r>
            <w:r w:rsidR="00B45792" w:rsidRPr="00B45792">
              <w:rPr>
                <w:b/>
                <w:bCs/>
                <w:lang w:val="en-US"/>
              </w:rPr>
              <w:t>Money</w:t>
            </w:r>
          </w:p>
          <w:p w:rsidR="005D4AF5" w:rsidRPr="00B45792" w:rsidRDefault="00B45792" w:rsidP="00B45792">
            <w:pPr>
              <w:jc w:val="both"/>
              <w:rPr>
                <w:lang w:val="en-US"/>
              </w:rPr>
            </w:pPr>
            <w:r w:rsidRPr="00B45792">
              <w:rPr>
                <w:bCs/>
                <w:lang w:val="en-US"/>
              </w:rPr>
              <w:t>2</w:t>
            </w:r>
            <w:r w:rsidR="005D4AF5" w:rsidRPr="00B45792">
              <w:rPr>
                <w:bCs/>
                <w:lang w:val="en-US"/>
              </w:rPr>
              <w:t>.</w:t>
            </w:r>
            <w:r w:rsidR="005D4AF5" w:rsidRPr="00B45792">
              <w:rPr>
                <w:bCs/>
                <w:lang w:val="en-US"/>
              </w:rPr>
              <w:t xml:space="preserve">7. </w:t>
            </w:r>
            <w:r w:rsidR="005D4AF5" w:rsidRPr="00B45792">
              <w:rPr>
                <w:shd w:val="clear" w:color="auto" w:fill="FFFFFF"/>
                <w:lang w:val="en-US"/>
              </w:rPr>
              <w:t xml:space="preserve">Date </w:t>
            </w:r>
            <w:r w:rsidRPr="00B45792">
              <w:rPr>
                <w:shd w:val="clear" w:color="auto" w:fill="FFFFFF"/>
                <w:lang w:val="en-US"/>
              </w:rPr>
              <w:t xml:space="preserve">as of which were determined </w:t>
            </w:r>
            <w:r w:rsidR="005D4AF5" w:rsidRPr="00B45792">
              <w:rPr>
                <w:shd w:val="clear" w:color="auto" w:fill="FFFFFF"/>
                <w:lang w:val="en-US"/>
              </w:rPr>
              <w:t xml:space="preserve"> persons entitled to </w:t>
            </w:r>
            <w:r w:rsidRPr="00B45792">
              <w:rPr>
                <w:shd w:val="clear" w:color="auto" w:fill="FFFFFF"/>
                <w:lang w:val="en-US"/>
              </w:rPr>
              <w:t xml:space="preserve">receive </w:t>
            </w:r>
            <w:r w:rsidR="005D4AF5" w:rsidRPr="00B45792">
              <w:rPr>
                <w:shd w:val="clear" w:color="auto" w:fill="FFFFFF"/>
                <w:lang w:val="en-US"/>
              </w:rPr>
              <w:t>income on the issuer’s securities:</w:t>
            </w:r>
          </w:p>
          <w:p w:rsidR="005D4AF5" w:rsidRPr="00B45792" w:rsidRDefault="00B45792" w:rsidP="00B45792">
            <w:pPr>
              <w:shd w:val="clear" w:color="auto" w:fill="FFFFFF"/>
              <w:spacing w:line="210" w:lineRule="atLeast"/>
              <w:jc w:val="both"/>
              <w:rPr>
                <w:lang w:val="en-US"/>
              </w:rPr>
            </w:pPr>
            <w:r w:rsidRPr="00B45792">
              <w:rPr>
                <w:b/>
                <w:bCs/>
                <w:lang w:val="en-US"/>
              </w:rPr>
              <w:t>13.07.2016</w:t>
            </w:r>
          </w:p>
          <w:p w:rsidR="005D4AF5" w:rsidRPr="00B45792" w:rsidRDefault="005D4AF5" w:rsidP="00B45792">
            <w:pPr>
              <w:jc w:val="both"/>
              <w:rPr>
                <w:lang w:val="en-US"/>
              </w:rPr>
            </w:pPr>
            <w:r w:rsidRPr="00B45792">
              <w:rPr>
                <w:shd w:val="clear" w:color="auto" w:fill="FFFFFF"/>
                <w:lang w:val="en-US"/>
              </w:rPr>
              <w:t>2.</w:t>
            </w:r>
            <w:r w:rsidRPr="00B45792">
              <w:rPr>
                <w:shd w:val="clear" w:color="auto" w:fill="FFFFFF"/>
                <w:lang w:val="en-US"/>
              </w:rPr>
              <w:t>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B45792" w:rsidRPr="00B45792" w:rsidRDefault="00B45792" w:rsidP="00B45792">
            <w:pPr>
              <w:shd w:val="clear" w:color="auto" w:fill="FFFFFF"/>
              <w:spacing w:line="210" w:lineRule="atLeast"/>
              <w:jc w:val="both"/>
              <w:rPr>
                <w:rStyle w:val="apple-converted-space"/>
                <w:b/>
                <w:shd w:val="clear" w:color="auto" w:fill="FFFFFF"/>
                <w:lang w:val="en-US"/>
              </w:rPr>
            </w:pPr>
            <w:proofErr w:type="gramStart"/>
            <w:r w:rsidRPr="00B45792">
              <w:rPr>
                <w:b/>
                <w:bCs/>
                <w:shd w:val="clear" w:color="auto" w:fill="FFFFFF"/>
                <w:lang w:val="en-US"/>
              </w:rPr>
              <w:t xml:space="preserve">Dividends shall be paid to a nominal holder and a trustee being a professional securities trader within 10 business days </w:t>
            </w:r>
            <w:r w:rsidRPr="00B45792">
              <w:rPr>
                <w:b/>
                <w:lang w:val="en-US"/>
              </w:rPr>
              <w:t xml:space="preserve">from the day </w:t>
            </w:r>
            <w:r w:rsidRPr="00B45792">
              <w:rPr>
                <w:b/>
                <w:lang w:val="en-US"/>
              </w:rPr>
              <w:t>of making the</w:t>
            </w:r>
            <w:r w:rsidRPr="00B45792">
              <w:rPr>
                <w:b/>
                <w:lang w:val="en-US"/>
              </w:rPr>
              <w:t xml:space="preserve"> list of persons entitled to receive </w:t>
            </w:r>
            <w:r w:rsidRPr="00B45792">
              <w:rPr>
                <w:b/>
                <w:lang w:val="en-US"/>
              </w:rPr>
              <w:t>dividends</w:t>
            </w:r>
            <w:r w:rsidRPr="00B45792">
              <w:rPr>
                <w:b/>
                <w:bCs/>
                <w:shd w:val="clear" w:color="auto" w:fill="FFFFFF"/>
                <w:lang w:val="en-US"/>
              </w:rPr>
              <w:t xml:space="preserve"> (</w:t>
            </w:r>
            <w:r w:rsidRPr="00B45792">
              <w:rPr>
                <w:b/>
                <w:bCs/>
                <w:shd w:val="clear" w:color="auto" w:fill="FFFFFF"/>
                <w:lang w:val="en-US"/>
              </w:rPr>
              <w:t xml:space="preserve">before or </w:t>
            </w:r>
            <w:r w:rsidRPr="00B45792">
              <w:rPr>
                <w:b/>
                <w:bCs/>
                <w:shd w:val="clear" w:color="auto" w:fill="FFFFFF"/>
                <w:lang w:val="en-US"/>
              </w:rPr>
              <w:lastRenderedPageBreak/>
              <w:t xml:space="preserve">on 27 July 2016), and to other shareholders registered in a register </w:t>
            </w:r>
            <w:r w:rsidRPr="00B45792">
              <w:rPr>
                <w:b/>
                <w:bCs/>
                <w:shd w:val="clear" w:color="auto" w:fill="FFFFFF"/>
                <w:lang w:val="en-US"/>
              </w:rPr>
              <w:t>–</w:t>
            </w:r>
            <w:r w:rsidRPr="00B45792">
              <w:rPr>
                <w:b/>
                <w:bCs/>
                <w:shd w:val="clear" w:color="auto" w:fill="FFFFFF"/>
                <w:lang w:val="en-US"/>
              </w:rPr>
              <w:t xml:space="preserve"> within 25 business days </w:t>
            </w:r>
            <w:r w:rsidRPr="00B45792">
              <w:rPr>
                <w:b/>
                <w:lang w:val="en-US"/>
              </w:rPr>
              <w:t>from the day of making the list of persons entitled to receive dividends</w:t>
            </w:r>
            <w:r>
              <w:rPr>
                <w:b/>
                <w:lang w:val="en-US"/>
              </w:rPr>
              <w:t xml:space="preserve"> </w:t>
            </w:r>
            <w:r w:rsidRPr="00B45792">
              <w:rPr>
                <w:b/>
                <w:bCs/>
                <w:shd w:val="clear" w:color="auto" w:fill="FFFFFF"/>
                <w:lang w:val="en-US"/>
              </w:rPr>
              <w:t xml:space="preserve">(before or on </w:t>
            </w:r>
            <w:r w:rsidRPr="00B45792">
              <w:rPr>
                <w:b/>
                <w:bCs/>
                <w:shd w:val="clear" w:color="auto" w:fill="FFFFFF"/>
                <w:lang w:val="en-US"/>
              </w:rPr>
              <w:t>17 August</w:t>
            </w:r>
            <w:r w:rsidRPr="00B45792">
              <w:rPr>
                <w:b/>
                <w:bCs/>
                <w:shd w:val="clear" w:color="auto" w:fill="FFFFFF"/>
                <w:lang w:val="en-US"/>
              </w:rPr>
              <w:t xml:space="preserve"> 2016).</w:t>
            </w:r>
            <w:r w:rsidRPr="00B45792">
              <w:rPr>
                <w:rStyle w:val="apple-converted-space"/>
                <w:b/>
                <w:shd w:val="clear" w:color="auto" w:fill="FFFFFF"/>
                <w:lang w:val="en-US"/>
              </w:rPr>
              <w:t> </w:t>
            </w:r>
            <w:proofErr w:type="gramEnd"/>
          </w:p>
          <w:p w:rsidR="005D4AF5" w:rsidRPr="00B45792" w:rsidRDefault="005D4AF5" w:rsidP="00B45792">
            <w:pPr>
              <w:shd w:val="clear" w:color="auto" w:fill="FFFFFF"/>
              <w:spacing w:line="210" w:lineRule="atLeast"/>
              <w:jc w:val="both"/>
              <w:rPr>
                <w:b/>
                <w:bCs/>
                <w:shd w:val="clear" w:color="auto" w:fill="FFFFFF"/>
                <w:lang w:val="en-US"/>
              </w:rPr>
            </w:pPr>
            <w:r w:rsidRPr="00B45792">
              <w:rPr>
                <w:rStyle w:val="apple-converted-space"/>
                <w:shd w:val="clear" w:color="auto" w:fill="FFFFFF"/>
                <w:lang w:val="en-US"/>
              </w:rPr>
              <w:t>2.</w:t>
            </w:r>
            <w:r w:rsidRPr="00B45792">
              <w:rPr>
                <w:rStyle w:val="apple-converted-space"/>
                <w:shd w:val="clear" w:color="auto" w:fill="FFFFFF"/>
                <w:lang w:val="en-US"/>
              </w:rPr>
              <w:t>9.  </w:t>
            </w:r>
            <w:r w:rsidRPr="00B45792">
              <w:rPr>
                <w:shd w:val="clear" w:color="auto" w:fill="FFFFFF"/>
                <w:lang w:val="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5D4AF5" w:rsidRPr="00B45792" w:rsidRDefault="00B45792" w:rsidP="00B45792">
            <w:pPr>
              <w:tabs>
                <w:tab w:val="left" w:pos="344"/>
              </w:tabs>
              <w:jc w:val="both"/>
              <w:rPr>
                <w:b/>
                <w:lang w:val="en-US"/>
              </w:rPr>
            </w:pPr>
            <w:r w:rsidRPr="00B45792">
              <w:rPr>
                <w:b/>
                <w:lang w:val="en-US"/>
              </w:rPr>
              <w:t>1 144 586 535.81 rubles (paid dividends on securities, without VAT)</w:t>
            </w:r>
          </w:p>
          <w:p w:rsidR="005D4AF5" w:rsidRPr="00B45792" w:rsidRDefault="00B45792" w:rsidP="00B45792">
            <w:pPr>
              <w:jc w:val="both"/>
              <w:rPr>
                <w:lang w:val="en-US"/>
              </w:rPr>
            </w:pPr>
            <w:r w:rsidRPr="00B45792">
              <w:rPr>
                <w:rStyle w:val="apple-converted-space"/>
                <w:shd w:val="clear" w:color="auto" w:fill="FFFFFF"/>
                <w:lang w:val="en-US"/>
              </w:rPr>
              <w:t xml:space="preserve">2. </w:t>
            </w:r>
            <w:r w:rsidR="005D4AF5" w:rsidRPr="00B45792">
              <w:rPr>
                <w:rStyle w:val="apple-converted-space"/>
                <w:shd w:val="clear" w:color="auto" w:fill="FFFFFF"/>
                <w:lang w:val="en-US"/>
              </w:rPr>
              <w:t xml:space="preserve">10. </w:t>
            </w:r>
            <w:r w:rsidR="005D4AF5" w:rsidRPr="00B45792">
              <w:rPr>
                <w:shd w:val="clear" w:color="auto" w:fill="FFFFFF"/>
                <w:lang w:val="en-US"/>
              </w:rPr>
              <w:t>In the event that income on securities of the issuer has not been paid or paid not in full by the issuer, reasons for the failure to pay income on the issuer’s securities:</w:t>
            </w:r>
          </w:p>
          <w:p w:rsidR="005D4AF5" w:rsidRPr="00B45792" w:rsidRDefault="00B45792" w:rsidP="00B45792">
            <w:pPr>
              <w:shd w:val="clear" w:color="auto" w:fill="FFFFFF"/>
              <w:spacing w:line="210" w:lineRule="atLeast"/>
              <w:jc w:val="both"/>
              <w:rPr>
                <w:b/>
                <w:lang w:val="en-US"/>
              </w:rPr>
            </w:pPr>
            <w:r w:rsidRPr="00B45792">
              <w:rPr>
                <w:b/>
                <w:lang w:val="en-US"/>
              </w:rPr>
              <w:t>Absence</w:t>
            </w:r>
            <w:r w:rsidRPr="00B45792">
              <w:rPr>
                <w:b/>
                <w:lang w:val="en-US"/>
              </w:rPr>
              <w:t xml:space="preserve"> of information required </w:t>
            </w:r>
            <w:r w:rsidRPr="00B45792">
              <w:rPr>
                <w:b/>
                <w:lang w:val="en-US"/>
              </w:rPr>
              <w:t>for transfer of</w:t>
            </w:r>
            <w:r w:rsidRPr="00B45792">
              <w:rPr>
                <w:b/>
                <w:lang w:val="en-US"/>
              </w:rPr>
              <w:t xml:space="preserve"> dividends in the questionnaires of the registered persons entitled to receive dividends.</w:t>
            </w:r>
          </w:p>
          <w:p w:rsidR="00B45792" w:rsidRPr="00B45792" w:rsidRDefault="00B45792" w:rsidP="00B45792">
            <w:pPr>
              <w:shd w:val="clear" w:color="auto" w:fill="FFFFFF"/>
              <w:spacing w:line="210" w:lineRule="atLeast"/>
              <w:jc w:val="both"/>
              <w:rPr>
                <w:b/>
                <w:lang w:val="en-US"/>
              </w:rPr>
            </w:pPr>
            <w:r w:rsidRPr="00B45792">
              <w:rPr>
                <w:lang w:val="en-US"/>
              </w:rPr>
              <w:t>2.11.</w:t>
            </w:r>
            <w:r w:rsidRPr="00B45792">
              <w:rPr>
                <w:lang w:val="en-US"/>
              </w:rPr>
              <w:t xml:space="preserve"> Fact of nonperformance (partial nonperformance) by the </w:t>
            </w:r>
            <w:r w:rsidRPr="00B45792">
              <w:rPr>
                <w:lang w:val="en-US"/>
              </w:rPr>
              <w:t>i</w:t>
            </w:r>
            <w:r w:rsidRPr="00B45792">
              <w:rPr>
                <w:lang w:val="en-US"/>
              </w:rPr>
              <w:t>ssuer of correspondent obligation</w:t>
            </w:r>
            <w:r w:rsidRPr="00B45792">
              <w:rPr>
                <w:lang w:val="en-US"/>
              </w:rPr>
              <w:t>s</w:t>
            </w:r>
            <w:r w:rsidRPr="00B45792">
              <w:rPr>
                <w:lang w:val="en-US"/>
              </w:rPr>
              <w:t xml:space="preserve"> to the owners of securities, including by its fault (default): </w:t>
            </w:r>
            <w:r w:rsidRPr="00B45792">
              <w:rPr>
                <w:b/>
                <w:lang w:val="en-US"/>
              </w:rPr>
              <w:t xml:space="preserve">issuer’s obligations </w:t>
            </w:r>
            <w:proofErr w:type="gramStart"/>
            <w:r w:rsidRPr="00B45792">
              <w:rPr>
                <w:b/>
                <w:lang w:val="en-US"/>
              </w:rPr>
              <w:t>were partially fulfilled</w:t>
            </w:r>
            <w:proofErr w:type="gramEnd"/>
            <w:r w:rsidRPr="00B45792">
              <w:rPr>
                <w:b/>
                <w:lang w:val="en-US"/>
              </w:rPr>
              <w:t>.</w:t>
            </w:r>
          </w:p>
          <w:p w:rsidR="00B45792" w:rsidRPr="00B45792" w:rsidRDefault="00B45792" w:rsidP="00B45792">
            <w:pPr>
              <w:shd w:val="clear" w:color="auto" w:fill="FFFFFF"/>
              <w:spacing w:line="210" w:lineRule="atLeast"/>
              <w:jc w:val="both"/>
              <w:rPr>
                <w:b/>
                <w:lang w:val="en-US"/>
              </w:rPr>
            </w:pPr>
            <w:r w:rsidRPr="00B45792">
              <w:rPr>
                <w:lang w:val="en-US"/>
              </w:rPr>
              <w:t xml:space="preserve">2.12. </w:t>
            </w:r>
            <w:r w:rsidRPr="00B45792">
              <w:rPr>
                <w:lang w:val="en-US"/>
              </w:rPr>
              <w:t>Reason for nonperformance (partial nonperformance) by the Issuer of correspondent obligation to the owners of securities and in case of financial obligation and other obligation that can be expressed in monetary means, amount of such obligations in money</w:t>
            </w:r>
            <w:r w:rsidRPr="00B45792">
              <w:rPr>
                <w:lang w:val="en-US"/>
              </w:rPr>
              <w:t>, as well as amount of such obligation in monetary terms</w:t>
            </w:r>
            <w:r w:rsidRPr="00B45792">
              <w:rPr>
                <w:lang w:val="en-US"/>
              </w:rPr>
              <w:t>:</w:t>
            </w:r>
            <w:r w:rsidRPr="00B45792">
              <w:rPr>
                <w:lang w:val="en-US"/>
              </w:rPr>
              <w:t xml:space="preserve"> </w:t>
            </w:r>
            <w:r w:rsidRPr="00B45792">
              <w:rPr>
                <w:b/>
                <w:lang w:val="en-US"/>
              </w:rPr>
              <w:t>Reason for partial nonperformance of the Issuer’s obligation</w:t>
            </w:r>
            <w:r w:rsidRPr="00B45792">
              <w:rPr>
                <w:b/>
                <w:lang w:val="en-US"/>
              </w:rPr>
              <w:t>: a</w:t>
            </w:r>
            <w:r w:rsidRPr="00B45792">
              <w:rPr>
                <w:b/>
                <w:lang w:val="en-US"/>
              </w:rPr>
              <w:t>bsence of information required for transfer of dividends in the questionnaires of the registered persons entitled to receive dividends</w:t>
            </w:r>
            <w:r w:rsidRPr="00B45792">
              <w:rPr>
                <w:b/>
                <w:lang w:val="en-US"/>
              </w:rPr>
              <w:t>.</w:t>
            </w:r>
          </w:p>
          <w:p w:rsidR="00B45792" w:rsidRPr="00B45792" w:rsidRDefault="00B45792" w:rsidP="00B45792">
            <w:pPr>
              <w:shd w:val="clear" w:color="auto" w:fill="FFFFFF"/>
              <w:spacing w:line="210" w:lineRule="atLeast"/>
              <w:jc w:val="both"/>
              <w:rPr>
                <w:lang w:val="en-US"/>
              </w:rPr>
            </w:pPr>
            <w:r w:rsidRPr="00B45792">
              <w:rPr>
                <w:lang w:val="en-US"/>
              </w:rPr>
              <w:t>amount of such obligation in monetary terms</w:t>
            </w:r>
            <w:r w:rsidRPr="00B45792">
              <w:rPr>
                <w:lang w:val="en-US"/>
              </w:rPr>
              <w:t xml:space="preserve">: 26 257.41 rubles </w:t>
            </w:r>
            <w:r w:rsidRPr="00B45792">
              <w:rPr>
                <w:b/>
                <w:lang w:val="en-US"/>
              </w:rPr>
              <w:t>(paid dividends on securities, without VAT</w:t>
            </w:r>
            <w:r w:rsidRPr="00B45792">
              <w:rPr>
                <w:b/>
                <w:lang w:val="en-US"/>
              </w:rPr>
              <w:t>)</w:t>
            </w:r>
          </w:p>
        </w:tc>
      </w:tr>
      <w:tr w:rsidR="00B45792" w:rsidRPr="00B45792" w:rsidTr="002D03AF">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D4AF5" w:rsidRPr="00B45792" w:rsidRDefault="005D4AF5" w:rsidP="00B45792">
            <w:pPr>
              <w:spacing w:after="120"/>
              <w:jc w:val="both"/>
              <w:rPr>
                <w:lang w:val="en-US"/>
              </w:rPr>
            </w:pPr>
          </w:p>
        </w:tc>
      </w:tr>
      <w:tr w:rsidR="00B45792" w:rsidRPr="00B45792" w:rsidTr="002D03AF">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D4AF5" w:rsidRPr="00B45792" w:rsidRDefault="005D4AF5" w:rsidP="00B45792">
            <w:pPr>
              <w:tabs>
                <w:tab w:val="left" w:pos="142"/>
                <w:tab w:val="left" w:pos="9465"/>
              </w:tabs>
              <w:spacing w:after="120"/>
              <w:ind w:left="142" w:right="189"/>
              <w:jc w:val="center"/>
              <w:rPr>
                <w:lang w:val="en-US" w:eastAsia="en-US"/>
              </w:rPr>
            </w:pPr>
            <w:r w:rsidRPr="00B45792">
              <w:rPr>
                <w:lang w:val="en-US" w:eastAsia="en-US"/>
              </w:rPr>
              <w:t>3. Signature</w:t>
            </w:r>
          </w:p>
        </w:tc>
      </w:tr>
      <w:tr w:rsidR="00B45792" w:rsidRPr="00B45792" w:rsidTr="002D03AF">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5D4AF5" w:rsidRPr="00B45792" w:rsidRDefault="005D4AF5" w:rsidP="00B45792">
            <w:pPr>
              <w:pStyle w:val="Default"/>
              <w:spacing w:after="120"/>
              <w:jc w:val="both"/>
              <w:rPr>
                <w:color w:val="auto"/>
                <w:lang w:val="en-US"/>
              </w:rPr>
            </w:pPr>
            <w:r w:rsidRPr="00B45792">
              <w:rPr>
                <w:color w:val="auto"/>
                <w:lang w:val="en-US"/>
              </w:rPr>
              <w:t xml:space="preserve">3.1 </w:t>
            </w:r>
            <w:r w:rsidR="00862CAC">
              <w:rPr>
                <w:color w:val="auto"/>
                <w:lang w:val="en-US"/>
              </w:rPr>
              <w:t>Deputy director general in charge of c</w:t>
            </w:r>
            <w:r w:rsidRPr="00B45792">
              <w:rPr>
                <w:color w:val="auto"/>
                <w:lang w:val="en-US"/>
              </w:rPr>
              <w:t xml:space="preserve">orporate governance (by power of attorney No. </w:t>
            </w:r>
            <w:r w:rsidR="00862CAC">
              <w:rPr>
                <w:color w:val="auto"/>
                <w:lang w:val="en-US"/>
              </w:rPr>
              <w:t>1-847</w:t>
            </w:r>
          </w:p>
          <w:p w:rsidR="005D4AF5" w:rsidRPr="00B45792" w:rsidRDefault="005D4AF5" w:rsidP="00B45792">
            <w:pPr>
              <w:spacing w:after="120"/>
              <w:ind w:left="57"/>
              <w:jc w:val="both"/>
              <w:rPr>
                <w:lang w:val="en-US" w:eastAsia="en-US"/>
              </w:rPr>
            </w:pPr>
            <w:r w:rsidRPr="00B45792">
              <w:rPr>
                <w:lang w:val="en-US" w:eastAsia="en-US"/>
              </w:rPr>
              <w:t xml:space="preserve">dated </w:t>
            </w:r>
            <w:r w:rsidR="00862CAC">
              <w:rPr>
                <w:lang w:val="en-US" w:eastAsia="en-US"/>
              </w:rPr>
              <w:t>27.05.2016</w:t>
            </w:r>
            <w:r w:rsidRPr="00B45792">
              <w:rPr>
                <w:lang w:val="en-US" w:eastAsia="en-US"/>
              </w:rPr>
              <w:t>)</w:t>
            </w:r>
          </w:p>
          <w:p w:rsidR="005D4AF5" w:rsidRPr="00B45792" w:rsidRDefault="005D4AF5" w:rsidP="00B45792">
            <w:pPr>
              <w:spacing w:after="120"/>
              <w:ind w:left="57"/>
              <w:jc w:val="both"/>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5D4AF5" w:rsidRPr="00B45792" w:rsidRDefault="005D4AF5" w:rsidP="00B45792">
            <w:pPr>
              <w:spacing w:after="120"/>
              <w:jc w:val="both"/>
              <w:rPr>
                <w:lang w:val="en-US" w:eastAsia="en-US"/>
              </w:rPr>
            </w:pPr>
            <w:r w:rsidRPr="00B45792">
              <w:rPr>
                <w:lang w:val="en-US" w:eastAsia="en-US"/>
              </w:rPr>
              <w:t>________________</w:t>
            </w:r>
          </w:p>
          <w:p w:rsidR="005D4AF5" w:rsidRPr="00B45792" w:rsidRDefault="005D4AF5" w:rsidP="00B45792">
            <w:pPr>
              <w:spacing w:after="120"/>
              <w:jc w:val="both"/>
              <w:rPr>
                <w:lang w:val="en-US" w:eastAsia="en-US"/>
              </w:rPr>
            </w:pPr>
            <w:r w:rsidRPr="00B45792">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5D4AF5" w:rsidRPr="00B45792" w:rsidRDefault="00862CAC" w:rsidP="00B45792">
            <w:pPr>
              <w:spacing w:after="120"/>
              <w:jc w:val="both"/>
              <w:rPr>
                <w:lang w:val="en-US" w:eastAsia="en-US"/>
              </w:rPr>
            </w:pPr>
            <w:proofErr w:type="spellStart"/>
            <w:r>
              <w:rPr>
                <w:lang w:val="en-US" w:eastAsia="en-US"/>
              </w:rPr>
              <w:t>Ivanova</w:t>
            </w:r>
            <w:proofErr w:type="spellEnd"/>
            <w:r>
              <w:rPr>
                <w:lang w:val="en-US" w:eastAsia="en-US"/>
              </w:rPr>
              <w:t xml:space="preserve"> I.V.</w:t>
            </w:r>
          </w:p>
          <w:p w:rsidR="005D4AF5" w:rsidRPr="00B45792" w:rsidRDefault="005D4AF5" w:rsidP="00B45792">
            <w:pPr>
              <w:spacing w:after="120"/>
              <w:jc w:val="both"/>
              <w:rPr>
                <w:lang w:val="en-US" w:eastAsia="en-US"/>
              </w:rPr>
            </w:pPr>
          </w:p>
          <w:p w:rsidR="005D4AF5" w:rsidRPr="00B45792" w:rsidRDefault="005D4AF5" w:rsidP="00B45792">
            <w:pPr>
              <w:spacing w:after="120"/>
              <w:jc w:val="both"/>
              <w:rPr>
                <w:lang w:val="en-US" w:eastAsia="en-US"/>
              </w:rPr>
            </w:pPr>
          </w:p>
        </w:tc>
      </w:tr>
      <w:tr w:rsidR="00B45792" w:rsidRPr="00B45792" w:rsidTr="002D03AF">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5D4AF5" w:rsidRPr="00B45792" w:rsidRDefault="005D4AF5" w:rsidP="00862CAC">
            <w:pPr>
              <w:spacing w:after="120"/>
              <w:jc w:val="both"/>
              <w:rPr>
                <w:lang w:val="en-US" w:eastAsia="en-US"/>
              </w:rPr>
            </w:pPr>
            <w:r w:rsidRPr="00B45792">
              <w:rPr>
                <w:lang w:val="en-US" w:eastAsia="en-US"/>
              </w:rPr>
              <w:t xml:space="preserve">3.2 Date: </w:t>
            </w:r>
            <w:r w:rsidR="00862CAC">
              <w:rPr>
                <w:lang w:val="en-US" w:eastAsia="en-US"/>
              </w:rPr>
              <w:t>18 August 2016</w:t>
            </w:r>
          </w:p>
        </w:tc>
        <w:tc>
          <w:tcPr>
            <w:tcW w:w="1976" w:type="dxa"/>
            <w:tcBorders>
              <w:top w:val="nil"/>
              <w:left w:val="nil"/>
              <w:right w:val="nil"/>
            </w:tcBorders>
            <w:tcMar>
              <w:top w:w="0" w:type="dxa"/>
              <w:left w:w="28" w:type="dxa"/>
              <w:bottom w:w="0" w:type="dxa"/>
              <w:right w:w="28" w:type="dxa"/>
            </w:tcMar>
            <w:vAlign w:val="bottom"/>
          </w:tcPr>
          <w:p w:rsidR="005D4AF5" w:rsidRPr="00B45792" w:rsidRDefault="005D4AF5" w:rsidP="00B45792">
            <w:pPr>
              <w:spacing w:after="120"/>
              <w:jc w:val="both"/>
              <w:rPr>
                <w:lang w:val="en-US" w:eastAsia="en-US"/>
              </w:rPr>
            </w:pPr>
            <w:r w:rsidRPr="00B45792">
              <w:rPr>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5D4AF5" w:rsidRPr="00B45792" w:rsidRDefault="005D4AF5" w:rsidP="00B45792">
            <w:pPr>
              <w:spacing w:after="120"/>
              <w:jc w:val="both"/>
              <w:rPr>
                <w:lang w:val="en-US" w:eastAsia="en-US"/>
              </w:rPr>
            </w:pPr>
          </w:p>
        </w:tc>
      </w:tr>
    </w:tbl>
    <w:p w:rsidR="005D4AF5" w:rsidRPr="00B45792" w:rsidRDefault="005D4AF5" w:rsidP="00B45792">
      <w:pPr>
        <w:jc w:val="both"/>
        <w:rPr>
          <w:lang w:val="en-US"/>
        </w:rPr>
      </w:pPr>
    </w:p>
    <w:p w:rsidR="0094789B" w:rsidRPr="00B45792" w:rsidRDefault="0094789B" w:rsidP="00B45792">
      <w:pPr>
        <w:jc w:val="both"/>
      </w:pPr>
    </w:p>
    <w:sectPr w:rsidR="0094789B" w:rsidRPr="00B45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F5"/>
    <w:rsid w:val="005D4AF5"/>
    <w:rsid w:val="00862CAC"/>
    <w:rsid w:val="0094789B"/>
    <w:rsid w:val="00B4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9C803-DA13-44AF-9C07-9E8E6463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A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4AF5"/>
    <w:rPr>
      <w:color w:val="0000FF"/>
      <w:u w:val="single"/>
    </w:rPr>
  </w:style>
  <w:style w:type="paragraph" w:styleId="a4">
    <w:name w:val="No Spacing"/>
    <w:uiPriority w:val="1"/>
    <w:qFormat/>
    <w:rsid w:val="005D4AF5"/>
    <w:pPr>
      <w:spacing w:after="0" w:line="240" w:lineRule="auto"/>
    </w:pPr>
    <w:rPr>
      <w:rFonts w:ascii="Calibri" w:eastAsia="Calibri" w:hAnsi="Calibri" w:cs="Times New Roman"/>
    </w:rPr>
  </w:style>
  <w:style w:type="paragraph" w:customStyle="1" w:styleId="Default">
    <w:name w:val="Default"/>
    <w:rsid w:val="005D4A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5D4AF5"/>
  </w:style>
  <w:style w:type="paragraph" w:styleId="a5">
    <w:name w:val="List Paragraph"/>
    <w:basedOn w:val="a"/>
    <w:uiPriority w:val="34"/>
    <w:qFormat/>
    <w:rsid w:val="00B45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2016-08-21T18:47:00Z</dcterms:created>
  <dcterms:modified xsi:type="dcterms:W3CDTF">2016-08-21T19:10:00Z</dcterms:modified>
</cp:coreProperties>
</file>