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F0" w:rsidRPr="007848D0" w:rsidRDefault="004A36F0" w:rsidP="004A36F0">
      <w:pPr>
        <w:pStyle w:val="a5"/>
        <w:jc w:val="center"/>
        <w:rPr>
          <w:rFonts w:ascii="Times New Roman" w:hAnsi="Times New Roman" w:cs="Times New Roman"/>
          <w:b/>
          <w:sz w:val="24"/>
          <w:szCs w:val="24"/>
          <w:lang w:val="en-US"/>
        </w:rPr>
      </w:pPr>
      <w:bookmarkStart w:id="0" w:name="_GoBack"/>
      <w:r w:rsidRPr="007848D0">
        <w:rPr>
          <w:rFonts w:ascii="Times New Roman" w:hAnsi="Times New Roman" w:cs="Times New Roman"/>
          <w:b/>
          <w:sz w:val="24"/>
          <w:szCs w:val="24"/>
          <w:lang w:val="en-US"/>
        </w:rPr>
        <w:t>Corporate action statement</w:t>
      </w:r>
    </w:p>
    <w:p w:rsidR="004A36F0" w:rsidRPr="007848D0" w:rsidRDefault="004A36F0" w:rsidP="004A36F0">
      <w:pPr>
        <w:pStyle w:val="a5"/>
        <w:jc w:val="center"/>
        <w:rPr>
          <w:rFonts w:ascii="Times New Roman" w:hAnsi="Times New Roman" w:cs="Times New Roman"/>
          <w:b/>
          <w:bCs/>
          <w:sz w:val="24"/>
          <w:szCs w:val="24"/>
          <w:lang w:val="en-US"/>
        </w:rPr>
      </w:pPr>
      <w:r w:rsidRPr="007848D0">
        <w:rPr>
          <w:rFonts w:ascii="Times New Roman" w:hAnsi="Times New Roman" w:cs="Times New Roman"/>
          <w:b/>
          <w:bCs/>
          <w:sz w:val="24"/>
          <w:szCs w:val="24"/>
          <w:lang w:val="en-US"/>
        </w:rPr>
        <w:t>“On decisions adopted by the Issuer’s Board of Directors”</w:t>
      </w:r>
    </w:p>
    <w:p w:rsidR="004A36F0" w:rsidRPr="007848D0" w:rsidRDefault="004A36F0" w:rsidP="004A36F0">
      <w:pPr>
        <w:pStyle w:val="a5"/>
        <w:jc w:val="center"/>
        <w:rPr>
          <w:rFonts w:ascii="Times New Roman" w:hAnsi="Times New Roman" w:cs="Times New Roman"/>
          <w:b/>
          <w:bCs/>
          <w:sz w:val="24"/>
          <w:szCs w:val="24"/>
          <w:lang w:val="en-US"/>
        </w:rPr>
      </w:pPr>
      <w:r w:rsidRPr="007848D0">
        <w:rPr>
          <w:rFonts w:ascii="Times New Roman" w:hAnsi="Times New Roman" w:cs="Times New Roman"/>
          <w:b/>
          <w:bCs/>
          <w:sz w:val="24"/>
          <w:szCs w:val="24"/>
          <w:lang w:val="en-US"/>
        </w:rPr>
        <w:t>(</w:t>
      </w:r>
      <w:proofErr w:type="gramStart"/>
      <w:r w:rsidRPr="007848D0">
        <w:rPr>
          <w:rFonts w:ascii="Times New Roman" w:hAnsi="Times New Roman" w:cs="Times New Roman"/>
          <w:b/>
          <w:bCs/>
          <w:sz w:val="24"/>
          <w:szCs w:val="24"/>
          <w:lang w:val="en-US"/>
        </w:rPr>
        <w:t>disclosure</w:t>
      </w:r>
      <w:proofErr w:type="gramEnd"/>
      <w:r w:rsidRPr="007848D0">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numPr>
                <w:ilvl w:val="0"/>
                <w:numId w:val="1"/>
              </w:numPr>
              <w:ind w:left="0" w:firstLine="0"/>
              <w:jc w:val="center"/>
              <w:rPr>
                <w:rFonts w:ascii="Times New Roman" w:hAnsi="Times New Roman" w:cs="Times New Roman"/>
                <w:sz w:val="24"/>
                <w:szCs w:val="24"/>
              </w:rPr>
            </w:pPr>
            <w:r w:rsidRPr="007848D0">
              <w:rPr>
                <w:rFonts w:ascii="Times New Roman" w:hAnsi="Times New Roman" w:cs="Times New Roman"/>
                <w:sz w:val="24"/>
                <w:szCs w:val="24"/>
                <w:lang w:val="en-US"/>
              </w:rPr>
              <w:t>General data</w:t>
            </w:r>
          </w:p>
        </w:tc>
      </w:tr>
      <w:tr w:rsidR="007848D0" w:rsidRPr="007848D0" w:rsidTr="000069DD">
        <w:trPr>
          <w:trHeight w:val="599"/>
        </w:trPr>
        <w:tc>
          <w:tcPr>
            <w:tcW w:w="3828"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rPr>
            </w:pPr>
            <w:r w:rsidRPr="007848D0">
              <w:rPr>
                <w:rFonts w:ascii="Times New Roman" w:hAnsi="Times New Roman" w:cs="Times New Roman"/>
                <w:sz w:val="24"/>
                <w:szCs w:val="24"/>
              </w:rPr>
              <w:t xml:space="preserve">1.1  </w:t>
            </w:r>
            <w:r w:rsidRPr="007848D0">
              <w:rPr>
                <w:rFonts w:ascii="Times New Roman" w:hAnsi="Times New Roman" w:cs="Times New Roman"/>
                <w:sz w:val="24"/>
                <w:szCs w:val="24"/>
                <w:lang w:val="en-US"/>
              </w:rPr>
              <w:t>Issuer</w:t>
            </w:r>
            <w:r w:rsidRPr="007848D0">
              <w:rPr>
                <w:rFonts w:ascii="Times New Roman" w:hAnsi="Times New Roman" w:cs="Times New Roman"/>
                <w:sz w:val="24"/>
                <w:szCs w:val="24"/>
              </w:rPr>
              <w:t>’</w:t>
            </w:r>
            <w:r w:rsidRPr="007848D0">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Public joint-stock company of Power Industry and Electrification of Kuban</w:t>
            </w:r>
          </w:p>
        </w:tc>
      </w:tr>
      <w:tr w:rsidR="007848D0" w:rsidRPr="007848D0" w:rsidTr="000069DD">
        <w:tc>
          <w:tcPr>
            <w:tcW w:w="3828"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rPr>
            </w:pPr>
            <w:r w:rsidRPr="007848D0">
              <w:rPr>
                <w:rFonts w:ascii="Times New Roman" w:hAnsi="Times New Roman" w:cs="Times New Roman"/>
                <w:sz w:val="24"/>
                <w:szCs w:val="24"/>
              </w:rPr>
              <w:t xml:space="preserve">1.2. </w:t>
            </w:r>
            <w:r w:rsidRPr="007848D0">
              <w:rPr>
                <w:rFonts w:ascii="Times New Roman" w:hAnsi="Times New Roman" w:cs="Times New Roman"/>
                <w:sz w:val="24"/>
                <w:szCs w:val="24"/>
                <w:lang w:val="en-US"/>
              </w:rPr>
              <w:t>Issuer</w:t>
            </w:r>
            <w:r w:rsidRPr="007848D0">
              <w:rPr>
                <w:rFonts w:ascii="Times New Roman" w:hAnsi="Times New Roman" w:cs="Times New Roman"/>
                <w:sz w:val="24"/>
                <w:szCs w:val="24"/>
              </w:rPr>
              <w:t>’</w:t>
            </w:r>
            <w:r w:rsidRPr="007848D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rPr>
            </w:pPr>
            <w:r w:rsidRPr="007848D0">
              <w:rPr>
                <w:rFonts w:ascii="Times New Roman" w:hAnsi="Times New Roman" w:cs="Times New Roman"/>
                <w:sz w:val="24"/>
                <w:szCs w:val="24"/>
                <w:lang w:val="en-US"/>
              </w:rPr>
              <w:t>“Kubanenergo” PJSC</w:t>
            </w:r>
          </w:p>
        </w:tc>
      </w:tr>
      <w:tr w:rsidR="007848D0" w:rsidRPr="007848D0" w:rsidTr="000069DD">
        <w:tc>
          <w:tcPr>
            <w:tcW w:w="3828"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rPr>
              <w:t xml:space="preserve">1.3. </w:t>
            </w:r>
            <w:r w:rsidRPr="007848D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jc w:val="both"/>
              <w:rPr>
                <w:lang w:val="en-US" w:eastAsia="en-US"/>
              </w:rPr>
            </w:pPr>
            <w:r w:rsidRPr="007848D0">
              <w:rPr>
                <w:lang w:val="en-US" w:eastAsia="en-US"/>
              </w:rPr>
              <w:t>Krasnodar, Russian Federation</w:t>
            </w:r>
          </w:p>
        </w:tc>
      </w:tr>
      <w:tr w:rsidR="007848D0" w:rsidRPr="007848D0" w:rsidTr="000069DD">
        <w:tc>
          <w:tcPr>
            <w:tcW w:w="3828"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rPr>
              <w:t xml:space="preserve">1.4. </w:t>
            </w:r>
            <w:r w:rsidRPr="007848D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rPr>
            </w:pPr>
            <w:r w:rsidRPr="007848D0">
              <w:rPr>
                <w:rFonts w:ascii="Times New Roman" w:hAnsi="Times New Roman" w:cs="Times New Roman"/>
                <w:sz w:val="24"/>
                <w:szCs w:val="24"/>
              </w:rPr>
              <w:t>1022301427268</w:t>
            </w:r>
          </w:p>
        </w:tc>
      </w:tr>
      <w:tr w:rsidR="007848D0" w:rsidRPr="007848D0" w:rsidTr="000069DD">
        <w:trPr>
          <w:trHeight w:val="521"/>
        </w:trPr>
        <w:tc>
          <w:tcPr>
            <w:tcW w:w="3828"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rPr>
              <w:t xml:space="preserve">1.5. </w:t>
            </w:r>
            <w:r w:rsidRPr="007848D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rPr>
            </w:pPr>
            <w:r w:rsidRPr="007848D0">
              <w:rPr>
                <w:rFonts w:ascii="Times New Roman" w:hAnsi="Times New Roman" w:cs="Times New Roman"/>
                <w:sz w:val="24"/>
                <w:szCs w:val="24"/>
              </w:rPr>
              <w:t>2309001660</w:t>
            </w:r>
          </w:p>
        </w:tc>
      </w:tr>
      <w:tr w:rsidR="007848D0" w:rsidRPr="007848D0" w:rsidTr="000069DD">
        <w:tc>
          <w:tcPr>
            <w:tcW w:w="3828"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rPr>
              <w:t>00063-</w:t>
            </w:r>
            <w:r w:rsidRPr="007848D0">
              <w:rPr>
                <w:rFonts w:ascii="Times New Roman" w:hAnsi="Times New Roman" w:cs="Times New Roman"/>
                <w:sz w:val="24"/>
                <w:szCs w:val="24"/>
                <w:lang w:val="en-US"/>
              </w:rPr>
              <w:t>A</w:t>
            </w:r>
          </w:p>
        </w:tc>
      </w:tr>
      <w:tr w:rsidR="007848D0" w:rsidRPr="007848D0" w:rsidTr="000069DD">
        <w:tc>
          <w:tcPr>
            <w:tcW w:w="3828"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4A36F0" w:rsidRPr="007848D0" w:rsidRDefault="007848D0" w:rsidP="000069DD">
            <w:pPr>
              <w:pStyle w:val="a5"/>
              <w:jc w:val="both"/>
              <w:rPr>
                <w:rFonts w:ascii="Times New Roman" w:hAnsi="Times New Roman" w:cs="Times New Roman"/>
                <w:sz w:val="24"/>
                <w:szCs w:val="24"/>
                <w:lang w:val="en-US"/>
              </w:rPr>
            </w:pPr>
            <w:hyperlink r:id="rId6" w:history="1">
              <w:r w:rsidR="004A36F0" w:rsidRPr="007848D0">
                <w:rPr>
                  <w:rStyle w:val="a3"/>
                  <w:rFonts w:ascii="Times New Roman" w:hAnsi="Times New Roman" w:cs="Times New Roman"/>
                  <w:color w:val="auto"/>
                  <w:sz w:val="24"/>
                  <w:szCs w:val="24"/>
                  <w:u w:val="none"/>
                  <w:lang w:val="en-US"/>
                </w:rPr>
                <w:t>www.kubanenergo.ru</w:t>
              </w:r>
            </w:hyperlink>
          </w:p>
          <w:p w:rsidR="004A36F0" w:rsidRPr="007848D0" w:rsidRDefault="007848D0" w:rsidP="000069DD">
            <w:pPr>
              <w:pStyle w:val="a5"/>
              <w:jc w:val="both"/>
              <w:rPr>
                <w:rFonts w:ascii="Times New Roman" w:hAnsi="Times New Roman" w:cs="Times New Roman"/>
                <w:sz w:val="24"/>
                <w:szCs w:val="24"/>
                <w:lang w:val="en-US"/>
              </w:rPr>
            </w:pPr>
            <w:hyperlink r:id="rId7" w:history="1">
              <w:r w:rsidR="004A36F0" w:rsidRPr="007848D0">
                <w:rPr>
                  <w:rStyle w:val="a3"/>
                  <w:rFonts w:ascii="Times New Roman" w:hAnsi="Times New Roman" w:cs="Times New Roman"/>
                  <w:color w:val="auto"/>
                  <w:sz w:val="24"/>
                  <w:szCs w:val="24"/>
                  <w:lang w:val="en-US"/>
                </w:rPr>
                <w:t>http://www.e-disclosure.ru/portal/company.aspx?id=2827</w:t>
              </w:r>
            </w:hyperlink>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widowControl w:val="0"/>
              <w:shd w:val="clear" w:color="auto" w:fill="FFFFFF"/>
              <w:tabs>
                <w:tab w:val="left" w:pos="432"/>
              </w:tabs>
              <w:adjustRightInd w:val="0"/>
              <w:jc w:val="both"/>
              <w:rPr>
                <w:b/>
                <w:bCs/>
                <w:lang w:val="en-US" w:eastAsia="en-US"/>
              </w:rPr>
            </w:pPr>
            <w:r w:rsidRPr="007848D0">
              <w:rPr>
                <w:lang w:val="en-US" w:eastAsia="en-US"/>
              </w:rPr>
              <w:t>2. Statement content</w:t>
            </w:r>
          </w:p>
        </w:tc>
      </w:tr>
      <w:tr w:rsidR="007848D0" w:rsidRPr="007848D0" w:rsidTr="000069DD">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tabs>
                <w:tab w:val="left" w:pos="284"/>
              </w:tabs>
              <w:jc w:val="both"/>
              <w:rPr>
                <w:b/>
                <w:lang w:val="en-US" w:eastAsia="en-US"/>
              </w:rPr>
            </w:pPr>
            <w:r w:rsidRPr="007848D0">
              <w:rPr>
                <w:b/>
                <w:lang w:val="en-US" w:eastAsia="en-US"/>
              </w:rPr>
              <w:t>2.1 Quorum of meeting of issuer’s BoD and results of voting on the adopted decisions:</w:t>
            </w:r>
          </w:p>
          <w:p w:rsidR="004A36F0" w:rsidRPr="007848D0" w:rsidRDefault="004A36F0" w:rsidP="000069DD">
            <w:pPr>
              <w:widowControl w:val="0"/>
              <w:jc w:val="both"/>
              <w:rPr>
                <w:lang w:val="en-US" w:eastAsia="en-US"/>
              </w:rPr>
            </w:pPr>
            <w:r w:rsidRPr="007848D0">
              <w:rPr>
                <w:lang w:val="en-US" w:eastAsia="en-US"/>
              </w:rPr>
              <w:t>Number of BoD members: 11 persons</w:t>
            </w:r>
          </w:p>
          <w:p w:rsidR="004A36F0" w:rsidRPr="007848D0" w:rsidRDefault="004A36F0" w:rsidP="000069DD">
            <w:pPr>
              <w:tabs>
                <w:tab w:val="left" w:pos="284"/>
              </w:tabs>
              <w:jc w:val="both"/>
              <w:rPr>
                <w:lang w:val="en-US" w:eastAsia="en-US"/>
              </w:rPr>
            </w:pPr>
            <w:r w:rsidRPr="007848D0">
              <w:rPr>
                <w:lang w:val="en-US" w:eastAsia="en-US"/>
              </w:rPr>
              <w:t xml:space="preserve">Members participated in the meeting: 8 persons </w:t>
            </w:r>
          </w:p>
          <w:p w:rsidR="004A36F0" w:rsidRPr="007848D0" w:rsidRDefault="004A36F0" w:rsidP="000069DD">
            <w:pPr>
              <w:tabs>
                <w:tab w:val="left" w:pos="284"/>
              </w:tabs>
              <w:jc w:val="both"/>
              <w:rPr>
                <w:lang w:val="en-US" w:eastAsia="en-US"/>
              </w:rPr>
            </w:pPr>
            <w:r w:rsidRPr="007848D0">
              <w:rPr>
                <w:lang w:val="en-US" w:eastAsia="en-US"/>
              </w:rPr>
              <w:t>Quorum necessary for holding the meeting of Kubanenergo JSC Board of Directors is present.</w:t>
            </w:r>
          </w:p>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34"/>
              <w:gridCol w:w="1836"/>
              <w:gridCol w:w="1985"/>
              <w:gridCol w:w="3394"/>
            </w:tblGrid>
            <w:tr w:rsidR="007848D0" w:rsidRPr="007848D0" w:rsidTr="000069DD">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No.</w:t>
                  </w:r>
                </w:p>
              </w:tc>
              <w:tc>
                <w:tcPr>
                  <w:tcW w:w="7215" w:type="dxa"/>
                  <w:gridSpan w:val="3"/>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center"/>
                    <w:rPr>
                      <w:rFonts w:ascii="Times New Roman" w:hAnsi="Times New Roman" w:cs="Times New Roman"/>
                      <w:sz w:val="24"/>
                      <w:szCs w:val="24"/>
                      <w:lang w:val="en-US"/>
                    </w:rPr>
                  </w:pPr>
                  <w:r w:rsidRPr="007848D0">
                    <w:rPr>
                      <w:rFonts w:ascii="Times New Roman" w:hAnsi="Times New Roman" w:cs="Times New Roman"/>
                      <w:sz w:val="24"/>
                      <w:szCs w:val="24"/>
                      <w:lang w:val="en-US"/>
                    </w:rPr>
                    <w:t>Votes</w:t>
                  </w:r>
                </w:p>
              </w:tc>
            </w:tr>
            <w:tr w:rsidR="007848D0" w:rsidRPr="007848D0" w:rsidTr="000069DD">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A36F0" w:rsidRPr="007848D0" w:rsidRDefault="004A36F0" w:rsidP="000069DD">
                  <w:pPr>
                    <w:autoSpaceDE/>
                    <w:autoSpaceDN/>
                    <w:rPr>
                      <w:rFonts w:eastAsiaTheme="minorHAnsi"/>
                      <w:lang w:val="en-US" w:eastAsia="en-US"/>
                    </w:rPr>
                  </w:pPr>
                </w:p>
              </w:tc>
              <w:tc>
                <w:tcPr>
                  <w:tcW w:w="1836"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center"/>
                    <w:rPr>
                      <w:rFonts w:ascii="Times New Roman" w:hAnsi="Times New Roman" w:cs="Times New Roman"/>
                      <w:b/>
                      <w:sz w:val="24"/>
                      <w:szCs w:val="24"/>
                      <w:lang w:val="en-US"/>
                    </w:rPr>
                  </w:pPr>
                  <w:r w:rsidRPr="007848D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AGAINST</w:t>
                  </w:r>
                </w:p>
              </w:tc>
              <w:tc>
                <w:tcPr>
                  <w:tcW w:w="3394" w:type="dxa"/>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ABSTAINED</w:t>
                  </w:r>
                </w:p>
              </w:tc>
            </w:tr>
          </w:tbl>
          <w:tbl>
            <w:tblPr>
              <w:tblW w:w="0" w:type="auto"/>
              <w:tblInd w:w="5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0"/>
              <w:gridCol w:w="1840"/>
              <w:gridCol w:w="2000"/>
              <w:gridCol w:w="3403"/>
            </w:tblGrid>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rPr>
                    <w:t>1</w:t>
                  </w:r>
                </w:p>
              </w:tc>
              <w:tc>
                <w:tcPr>
                  <w:tcW w:w="184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4"/>
              </w:trPr>
              <w:tc>
                <w:tcPr>
                  <w:tcW w:w="1120"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rPr>
                    <w:t>2</w:t>
                  </w:r>
                </w:p>
              </w:tc>
              <w:tc>
                <w:tcPr>
                  <w:tcW w:w="1840"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w w:val="90"/>
                    </w:rPr>
                    <w:t>7</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rPr>
                    <w:t>1</w:t>
                  </w: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rPr>
                    <w:t>3</w:t>
                  </w:r>
                </w:p>
              </w:tc>
              <w:tc>
                <w:tcPr>
                  <w:tcW w:w="184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rPr>
                    <w:t>4</w:t>
                  </w:r>
                </w:p>
              </w:tc>
              <w:tc>
                <w:tcPr>
                  <w:tcW w:w="184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0"/>
                    </w:rPr>
                    <w:t>7</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rPr>
                    <w:t>1</w:t>
                  </w: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rPr>
                    <w:t>5</w:t>
                  </w:r>
                </w:p>
              </w:tc>
              <w:tc>
                <w:tcPr>
                  <w:tcW w:w="184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rPr>
                    <w:t>6</w:t>
                  </w:r>
                </w:p>
              </w:tc>
              <w:tc>
                <w:tcPr>
                  <w:tcW w:w="184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rPr>
                    <w:t>7</w:t>
                  </w:r>
                </w:p>
              </w:tc>
              <w:tc>
                <w:tcPr>
                  <w:tcW w:w="184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rPr>
                    <w:t>8</w:t>
                  </w:r>
                </w:p>
              </w:tc>
              <w:tc>
                <w:tcPr>
                  <w:tcW w:w="184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0"/>
                    </w:rPr>
                    <w:t>7</w:t>
                  </w:r>
                </w:p>
              </w:tc>
              <w:tc>
                <w:tcPr>
                  <w:tcW w:w="200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rPr>
                    <w:t>1</w:t>
                  </w: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4"/>
              </w:trPr>
              <w:tc>
                <w:tcPr>
                  <w:tcW w:w="1120"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rPr>
                    <w:t>9</w:t>
                  </w:r>
                </w:p>
              </w:tc>
              <w:tc>
                <w:tcPr>
                  <w:tcW w:w="1840"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w w:val="90"/>
                    </w:rPr>
                    <w:t>6</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9"/>
                    </w:rPr>
                    <w:t>10</w:t>
                  </w:r>
                </w:p>
              </w:tc>
              <w:tc>
                <w:tcPr>
                  <w:tcW w:w="184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9"/>
                    </w:rPr>
                    <w:t>11</w:t>
                  </w:r>
                </w:p>
              </w:tc>
              <w:tc>
                <w:tcPr>
                  <w:tcW w:w="184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9"/>
                    </w:rPr>
                    <w:t>12</w:t>
                  </w:r>
                </w:p>
              </w:tc>
              <w:tc>
                <w:tcPr>
                  <w:tcW w:w="184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9"/>
                    </w:rPr>
                    <w:t>13</w:t>
                  </w:r>
                </w:p>
              </w:tc>
              <w:tc>
                <w:tcPr>
                  <w:tcW w:w="184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9"/>
                    </w:rPr>
                    <w:t>14</w:t>
                  </w:r>
                </w:p>
              </w:tc>
              <w:tc>
                <w:tcPr>
                  <w:tcW w:w="184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3"/>
              </w:trPr>
              <w:tc>
                <w:tcPr>
                  <w:tcW w:w="112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9"/>
                    </w:rPr>
                    <w:t>15</w:t>
                  </w:r>
                </w:p>
              </w:tc>
              <w:tc>
                <w:tcPr>
                  <w:tcW w:w="1840" w:type="dxa"/>
                  <w:vAlign w:val="bottom"/>
                  <w:hideMark/>
                </w:tcPr>
                <w:p w:rsidR="004A36F0" w:rsidRPr="007848D0" w:rsidRDefault="004A36F0" w:rsidP="000069DD">
                  <w:pPr>
                    <w:widowControl w:val="0"/>
                    <w:adjustRightInd w:val="0"/>
                    <w:spacing w:line="241" w:lineRule="exact"/>
                    <w:jc w:val="center"/>
                    <w:rPr>
                      <w:lang w:val="en-US" w:eastAsia="en-US"/>
                    </w:rPr>
                  </w:pPr>
                  <w:r w:rsidRPr="007848D0">
                    <w:rPr>
                      <w:b/>
                      <w:bCs/>
                      <w:w w:val="90"/>
                    </w:rPr>
                    <w:t>8</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tcPr>
                <w:p w:rsidR="004A36F0" w:rsidRPr="007848D0" w:rsidRDefault="004A36F0" w:rsidP="000069DD">
                  <w:pPr>
                    <w:widowControl w:val="0"/>
                    <w:adjustRightInd w:val="0"/>
                    <w:rPr>
                      <w:lang w:val="en-US" w:eastAsia="en-US"/>
                    </w:rPr>
                  </w:pPr>
                </w:p>
              </w:tc>
            </w:tr>
            <w:tr w:rsidR="007848D0" w:rsidRPr="007848D0" w:rsidTr="000069DD">
              <w:trPr>
                <w:trHeight w:val="244"/>
              </w:trPr>
              <w:tc>
                <w:tcPr>
                  <w:tcW w:w="1120"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w w:val="99"/>
                    </w:rPr>
                    <w:t>16</w:t>
                  </w:r>
                </w:p>
              </w:tc>
              <w:tc>
                <w:tcPr>
                  <w:tcW w:w="1840"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w w:val="90"/>
                    </w:rPr>
                    <w:t>7</w:t>
                  </w:r>
                </w:p>
              </w:tc>
              <w:tc>
                <w:tcPr>
                  <w:tcW w:w="2000" w:type="dxa"/>
                  <w:vAlign w:val="bottom"/>
                </w:tcPr>
                <w:p w:rsidR="004A36F0" w:rsidRPr="007848D0" w:rsidRDefault="004A36F0" w:rsidP="000069DD">
                  <w:pPr>
                    <w:widowControl w:val="0"/>
                    <w:adjustRightInd w:val="0"/>
                    <w:rPr>
                      <w:lang w:val="en-US" w:eastAsia="en-US"/>
                    </w:rPr>
                  </w:pPr>
                </w:p>
              </w:tc>
              <w:tc>
                <w:tcPr>
                  <w:tcW w:w="3403" w:type="dxa"/>
                  <w:vAlign w:val="bottom"/>
                  <w:hideMark/>
                </w:tcPr>
                <w:p w:rsidR="004A36F0" w:rsidRPr="007848D0" w:rsidRDefault="004A36F0" w:rsidP="000069DD">
                  <w:pPr>
                    <w:widowControl w:val="0"/>
                    <w:adjustRightInd w:val="0"/>
                    <w:spacing w:line="242" w:lineRule="exact"/>
                    <w:jc w:val="center"/>
                    <w:rPr>
                      <w:lang w:val="en-US" w:eastAsia="en-US"/>
                    </w:rPr>
                  </w:pPr>
                  <w:r w:rsidRPr="007848D0">
                    <w:rPr>
                      <w:b/>
                      <w:bCs/>
                    </w:rPr>
                    <w:t>1</w:t>
                  </w:r>
                </w:p>
              </w:tc>
            </w:tr>
            <w:tr w:rsidR="007848D0" w:rsidRPr="007848D0" w:rsidTr="000069DD">
              <w:trPr>
                <w:trHeight w:val="244"/>
              </w:trPr>
              <w:tc>
                <w:tcPr>
                  <w:tcW w:w="112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9"/>
                    </w:rPr>
                    <w:t>17</w:t>
                  </w:r>
                </w:p>
              </w:tc>
              <w:tc>
                <w:tcPr>
                  <w:tcW w:w="184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w w:val="90"/>
                    </w:rPr>
                    <w:t>6</w:t>
                  </w:r>
                </w:p>
              </w:tc>
              <w:tc>
                <w:tcPr>
                  <w:tcW w:w="2000"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rPr>
                    <w:t>1</w:t>
                  </w:r>
                </w:p>
              </w:tc>
              <w:tc>
                <w:tcPr>
                  <w:tcW w:w="3403" w:type="dxa"/>
                  <w:vAlign w:val="bottom"/>
                  <w:hideMark/>
                </w:tcPr>
                <w:p w:rsidR="004A36F0" w:rsidRPr="007848D0" w:rsidRDefault="004A36F0" w:rsidP="000069DD">
                  <w:pPr>
                    <w:widowControl w:val="0"/>
                    <w:adjustRightInd w:val="0"/>
                    <w:spacing w:line="240" w:lineRule="exact"/>
                    <w:jc w:val="center"/>
                    <w:rPr>
                      <w:lang w:val="en-US" w:eastAsia="en-US"/>
                    </w:rPr>
                  </w:pPr>
                  <w:r w:rsidRPr="007848D0">
                    <w:rPr>
                      <w:b/>
                      <w:bCs/>
                    </w:rPr>
                    <w:t>1</w:t>
                  </w:r>
                </w:p>
              </w:tc>
            </w:tr>
          </w:tbl>
          <w:p w:rsidR="004A36F0" w:rsidRPr="007848D0" w:rsidRDefault="004A36F0" w:rsidP="000069DD">
            <w:pPr>
              <w:tabs>
                <w:tab w:val="left" w:pos="3355"/>
              </w:tabs>
              <w:jc w:val="both"/>
              <w:rPr>
                <w:lang w:val="en-US" w:eastAsia="en-US"/>
              </w:rPr>
            </w:pP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tabs>
                <w:tab w:val="left" w:pos="426"/>
                <w:tab w:val="left" w:pos="993"/>
              </w:tabs>
              <w:jc w:val="center"/>
              <w:rPr>
                <w:b/>
                <w:lang w:val="en-US" w:eastAsia="en-US"/>
              </w:rPr>
            </w:pPr>
            <w:r w:rsidRPr="007848D0">
              <w:rPr>
                <w:b/>
                <w:lang w:val="en-US" w:eastAsia="en-US"/>
              </w:rPr>
              <w:t>Disclosure of insider information/approval of internal documents</w:t>
            </w:r>
          </w:p>
          <w:p w:rsidR="004A36F0" w:rsidRPr="007848D0" w:rsidRDefault="004A36F0" w:rsidP="000069DD">
            <w:pPr>
              <w:tabs>
                <w:tab w:val="left" w:pos="426"/>
                <w:tab w:val="left" w:pos="993"/>
              </w:tabs>
              <w:jc w:val="center"/>
              <w:rPr>
                <w:b/>
                <w:lang w:val="en-US" w:eastAsia="en-US"/>
              </w:rPr>
            </w:pPr>
            <w:r w:rsidRPr="007848D0">
              <w:rPr>
                <w:b/>
                <w:lang w:val="en-US" w:eastAsia="en-US"/>
              </w:rPr>
              <w:t xml:space="preserve"> </w:t>
            </w:r>
            <w:proofErr w:type="gramStart"/>
            <w:r w:rsidRPr="007848D0">
              <w:rPr>
                <w:b/>
                <w:lang w:val="en-US" w:eastAsia="en-US"/>
              </w:rPr>
              <w:t>on</w:t>
            </w:r>
            <w:proofErr w:type="gramEnd"/>
            <w:r w:rsidRPr="007848D0">
              <w:rPr>
                <w:b/>
                <w:lang w:val="en-US" w:eastAsia="en-US"/>
              </w:rPr>
              <w:t xml:space="preserve"> item No. 1 “On preliminary approval of changes to the collective agreement of “Kubanenergo” PJSC for 2016 - 2018.</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jc w:val="both"/>
              <w:rPr>
                <w:lang w:val="en-US"/>
              </w:rPr>
            </w:pPr>
            <w:r w:rsidRPr="007848D0">
              <w:rPr>
                <w:lang w:val="en-US"/>
              </w:rPr>
              <w:t>2.2.1.  Decision adopted by issuer’s Board of Directors:</w:t>
            </w:r>
          </w:p>
          <w:p w:rsidR="004A36F0" w:rsidRPr="007848D0" w:rsidRDefault="004A36F0" w:rsidP="000069DD">
            <w:pPr>
              <w:jc w:val="both"/>
              <w:rPr>
                <w:lang w:val="en-US"/>
              </w:rPr>
            </w:pPr>
            <w:r w:rsidRPr="007848D0">
              <w:rPr>
                <w:lang w:val="en-US"/>
              </w:rPr>
              <w:t>To defer the discussion to a later date.</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center"/>
              <w:rPr>
                <w:rFonts w:ascii="Times New Roman" w:hAnsi="Times New Roman" w:cs="Times New Roman"/>
                <w:b/>
                <w:sz w:val="24"/>
                <w:szCs w:val="24"/>
                <w:lang w:val="en-US"/>
              </w:rPr>
            </w:pPr>
            <w:r w:rsidRPr="007848D0">
              <w:rPr>
                <w:rFonts w:ascii="Times New Roman" w:hAnsi="Times New Roman" w:cs="Times New Roman"/>
                <w:b/>
                <w:sz w:val="24"/>
                <w:szCs w:val="24"/>
                <w:lang w:val="en-US"/>
              </w:rPr>
              <w:t>Disclosure of insider information on item No. 2 “On approval of benchmarks of cash flow of “Kubanenergo” PJSC for the 2</w:t>
            </w:r>
            <w:r w:rsidRPr="007848D0">
              <w:rPr>
                <w:rFonts w:ascii="Times New Roman" w:hAnsi="Times New Roman" w:cs="Times New Roman"/>
                <w:b/>
                <w:sz w:val="24"/>
                <w:szCs w:val="24"/>
                <w:vertAlign w:val="superscript"/>
                <w:lang w:val="en-US"/>
              </w:rPr>
              <w:t>nd</w:t>
            </w:r>
            <w:r w:rsidRPr="007848D0">
              <w:rPr>
                <w:rFonts w:ascii="Times New Roman" w:hAnsi="Times New Roman" w:cs="Times New Roman"/>
                <w:b/>
                <w:sz w:val="24"/>
                <w:szCs w:val="24"/>
                <w:lang w:val="en-US"/>
              </w:rPr>
              <w:t xml:space="preserve"> quarter of 2016”.</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2.2.2.  Decision adopted by issuer’s Board of Directors:</w:t>
            </w:r>
          </w:p>
          <w:p w:rsidR="004A36F0" w:rsidRPr="007848D0" w:rsidRDefault="004A36F0" w:rsidP="000069DD">
            <w:pPr>
              <w:pStyle w:val="a5"/>
              <w:ind w:right="140"/>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1. To approve cash flow indicators of Kubanenergo PJSC for the 2</w:t>
            </w:r>
            <w:r w:rsidRPr="007848D0">
              <w:rPr>
                <w:rFonts w:ascii="Times New Roman" w:hAnsi="Times New Roman" w:cs="Times New Roman"/>
                <w:sz w:val="24"/>
                <w:szCs w:val="24"/>
                <w:vertAlign w:val="superscript"/>
                <w:lang w:val="en-US"/>
              </w:rPr>
              <w:t>nd</w:t>
            </w:r>
            <w:r w:rsidRPr="007848D0">
              <w:rPr>
                <w:rFonts w:ascii="Times New Roman" w:hAnsi="Times New Roman" w:cs="Times New Roman"/>
                <w:sz w:val="24"/>
                <w:szCs w:val="24"/>
                <w:lang w:val="en-US"/>
              </w:rPr>
              <w:t xml:space="preserve"> quarter of 2016, in accordance with Annex 1 to the resolution of the BoD.</w:t>
            </w:r>
          </w:p>
          <w:p w:rsidR="004A36F0" w:rsidRPr="007848D0" w:rsidRDefault="004A36F0" w:rsidP="000069DD">
            <w:pPr>
              <w:pStyle w:val="a5"/>
              <w:ind w:right="140"/>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lastRenderedPageBreak/>
              <w:t>2. To instruct Director General to:</w:t>
            </w:r>
          </w:p>
          <w:p w:rsidR="004A36F0" w:rsidRPr="007848D0" w:rsidRDefault="004A36F0" w:rsidP="000069DD">
            <w:pPr>
              <w:pStyle w:val="a5"/>
              <w:ind w:right="140"/>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within 5 (five) business days after adopting this decision, to ensure preparation of project of cash flow indicators and its approval;</w:t>
            </w:r>
          </w:p>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within 1 (one) business day after approval of the cash flow indicators, to submit the document to members of the Board of Directors</w:t>
            </w:r>
          </w:p>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 </w:t>
            </w:r>
            <w:r w:rsidRPr="007848D0">
              <w:rPr>
                <w:rFonts w:ascii="Times New Roman" w:hAnsi="Times New Roman" w:cs="Times New Roman"/>
                <w:sz w:val="24"/>
                <w:szCs w:val="24"/>
                <w:shd w:val="clear" w:color="auto" w:fill="FFFFFF"/>
                <w:lang w:val="en-US"/>
              </w:rPr>
              <w:t>if the Company achieves the approved cash flow indicators in 2016, not to offer for review to the Company’s Board of Directors a report on compliance with the Company’s cash flow indicators.</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b/>
                <w:sz w:val="24"/>
                <w:szCs w:val="24"/>
                <w:lang w:val="en-US"/>
              </w:rPr>
            </w:pPr>
            <w:r w:rsidRPr="007848D0">
              <w:rPr>
                <w:rFonts w:ascii="Times New Roman" w:hAnsi="Times New Roman" w:cs="Times New Roman"/>
                <w:b/>
                <w:sz w:val="24"/>
                <w:szCs w:val="24"/>
                <w:lang w:val="en-US"/>
              </w:rPr>
              <w:lastRenderedPageBreak/>
              <w:t>Disclosure of insider information on item No. 3“On approval of the “Plan of development of production asset management system at “Kubanenergo” PJSC for 2016 -2018.”</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rPr>
                <w:lang w:val="en-US"/>
              </w:rPr>
            </w:pPr>
            <w:r w:rsidRPr="007848D0">
              <w:rPr>
                <w:lang w:val="en-US"/>
              </w:rPr>
              <w:t>2.2.3  Decision adopted by issuer’s Board of Directors:</w:t>
            </w:r>
          </w:p>
          <w:p w:rsidR="004A36F0" w:rsidRPr="007848D0" w:rsidRDefault="004A36F0" w:rsidP="000069DD">
            <w:pPr>
              <w:spacing w:after="120" w:line="240" w:lineRule="exact"/>
              <w:jc w:val="both"/>
              <w:rPr>
                <w:lang w:val="en"/>
              </w:rPr>
            </w:pPr>
            <w:r w:rsidRPr="007848D0">
              <w:rPr>
                <w:lang w:val="en"/>
              </w:rPr>
              <w:t xml:space="preserve">1. To approve the </w:t>
            </w:r>
            <w:r w:rsidRPr="007848D0">
              <w:rPr>
                <w:lang w:val="en-US" w:eastAsia="en-US"/>
              </w:rPr>
              <w:t xml:space="preserve">Plan of </w:t>
            </w:r>
            <w:r w:rsidRPr="007848D0">
              <w:rPr>
                <w:lang w:val="en-US"/>
              </w:rPr>
              <w:t xml:space="preserve">development of </w:t>
            </w:r>
            <w:r w:rsidRPr="007848D0">
              <w:rPr>
                <w:lang w:val="en-US" w:eastAsia="en-US"/>
              </w:rPr>
              <w:t xml:space="preserve">production asset management system </w:t>
            </w:r>
            <w:r w:rsidRPr="007848D0">
              <w:rPr>
                <w:lang w:val="en-US"/>
              </w:rPr>
              <w:t>of</w:t>
            </w:r>
            <w:r w:rsidRPr="007848D0">
              <w:rPr>
                <w:lang w:val="en-US" w:eastAsia="en-US"/>
              </w:rPr>
              <w:t xml:space="preserve"> “Kubanenergo” PJSC for 2016 -2018, </w:t>
            </w:r>
            <w:r w:rsidRPr="007848D0">
              <w:rPr>
                <w:lang w:val="en"/>
              </w:rPr>
              <w:t xml:space="preserve">in accordance with Annex 2 to </w:t>
            </w:r>
            <w:r w:rsidRPr="007848D0">
              <w:rPr>
                <w:lang w:val="en-US"/>
              </w:rPr>
              <w:t>the resolution of the BoD</w:t>
            </w:r>
            <w:r w:rsidRPr="007848D0">
              <w:rPr>
                <w:lang w:val="en"/>
              </w:rPr>
              <w:t>.</w:t>
            </w:r>
          </w:p>
          <w:p w:rsidR="004A36F0" w:rsidRPr="007848D0" w:rsidRDefault="004A36F0" w:rsidP="000069DD">
            <w:pPr>
              <w:spacing w:after="120" w:line="240" w:lineRule="exact"/>
              <w:jc w:val="both"/>
              <w:rPr>
                <w:lang w:val="en"/>
              </w:rPr>
            </w:pPr>
            <w:r w:rsidRPr="007848D0">
              <w:rPr>
                <w:lang w:val="en"/>
              </w:rPr>
              <w:t>2. To instruct the Company's sole executive body:</w:t>
            </w:r>
          </w:p>
          <w:p w:rsidR="004A36F0" w:rsidRPr="007848D0" w:rsidRDefault="004A36F0" w:rsidP="000069DD">
            <w:pPr>
              <w:spacing w:after="120" w:line="240" w:lineRule="exact"/>
              <w:jc w:val="both"/>
              <w:rPr>
                <w:lang w:val="en"/>
              </w:rPr>
            </w:pPr>
            <w:r w:rsidRPr="007848D0">
              <w:rPr>
                <w:lang w:val="en"/>
              </w:rPr>
              <w:t xml:space="preserve">- to ensure the timely implementation of the actions within the </w:t>
            </w:r>
            <w:r w:rsidRPr="007848D0">
              <w:rPr>
                <w:lang w:val="en-US" w:eastAsia="en-US"/>
              </w:rPr>
              <w:t xml:space="preserve">Plan of </w:t>
            </w:r>
            <w:r w:rsidRPr="007848D0">
              <w:rPr>
                <w:lang w:val="en-US"/>
              </w:rPr>
              <w:t xml:space="preserve">development of </w:t>
            </w:r>
            <w:r w:rsidRPr="007848D0">
              <w:rPr>
                <w:lang w:val="en-US" w:eastAsia="en-US"/>
              </w:rPr>
              <w:t xml:space="preserve">production asset management system </w:t>
            </w:r>
            <w:r w:rsidRPr="007848D0">
              <w:rPr>
                <w:lang w:val="en-US"/>
              </w:rPr>
              <w:t>f</w:t>
            </w:r>
            <w:r w:rsidRPr="007848D0">
              <w:rPr>
                <w:lang w:val="en-US" w:eastAsia="en-US"/>
              </w:rPr>
              <w:t xml:space="preserve"> “Kubanenergo” PJSC</w:t>
            </w:r>
            <w:r w:rsidRPr="007848D0">
              <w:rPr>
                <w:lang w:val="en"/>
              </w:rPr>
              <w:t>;</w:t>
            </w:r>
          </w:p>
          <w:p w:rsidR="004A36F0" w:rsidRPr="007848D0" w:rsidRDefault="004A36F0" w:rsidP="000069DD">
            <w:pPr>
              <w:spacing w:after="120" w:line="240" w:lineRule="exact"/>
              <w:jc w:val="both"/>
              <w:rPr>
                <w:lang w:val="en"/>
              </w:rPr>
            </w:pPr>
            <w:r w:rsidRPr="007848D0">
              <w:rPr>
                <w:lang w:val="en"/>
              </w:rPr>
              <w:t>- to provide annually, before the end of the 1</w:t>
            </w:r>
            <w:r w:rsidRPr="007848D0">
              <w:rPr>
                <w:vertAlign w:val="superscript"/>
                <w:lang w:val="en"/>
              </w:rPr>
              <w:t>st</w:t>
            </w:r>
            <w:r w:rsidRPr="007848D0">
              <w:rPr>
                <w:lang w:val="en"/>
              </w:rPr>
              <w:t xml:space="preserve"> quarter of the year following the reporting one, to the Company’s Board of Directors the information on the issue of consideration of the report on the implementation of the P</w:t>
            </w:r>
            <w:proofErr w:type="spellStart"/>
            <w:r w:rsidRPr="007848D0">
              <w:rPr>
                <w:lang w:val="en-US" w:eastAsia="en-US"/>
              </w:rPr>
              <w:t>lan</w:t>
            </w:r>
            <w:proofErr w:type="spellEnd"/>
            <w:r w:rsidRPr="007848D0">
              <w:rPr>
                <w:lang w:val="en-US" w:eastAsia="en-US"/>
              </w:rPr>
              <w:t xml:space="preserve"> of </w:t>
            </w:r>
            <w:r w:rsidRPr="007848D0">
              <w:rPr>
                <w:lang w:val="en-US"/>
              </w:rPr>
              <w:t xml:space="preserve">development of </w:t>
            </w:r>
            <w:r w:rsidRPr="007848D0">
              <w:rPr>
                <w:lang w:val="en-US" w:eastAsia="en-US"/>
              </w:rPr>
              <w:t xml:space="preserve">production asset management system </w:t>
            </w:r>
            <w:r w:rsidRPr="007848D0">
              <w:rPr>
                <w:lang w:val="en-US"/>
              </w:rPr>
              <w:t>of</w:t>
            </w:r>
            <w:r w:rsidRPr="007848D0">
              <w:rPr>
                <w:lang w:val="en-US" w:eastAsia="en-US"/>
              </w:rPr>
              <w:t xml:space="preserve"> “Kubanenergo” PJSC for 2016 -2018</w:t>
            </w:r>
            <w:r w:rsidRPr="007848D0">
              <w:rPr>
                <w:lang w:val="en"/>
              </w:rPr>
              <w:t xml:space="preserve"> as a part of the report on the performance of the resolutions of the Company’s Board of Directors.</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t>Disclosure of insider information on item No. 4 “On approval of the report of the internal audit and control department on the implementation of its plan of activities in 2015”</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2.2.4  Decision adopted by issuer’s Board of Directors:</w:t>
            </w:r>
          </w:p>
          <w:p w:rsidR="004A36F0" w:rsidRPr="007848D0" w:rsidRDefault="004A36F0" w:rsidP="000069DD">
            <w:pPr>
              <w:jc w:val="both"/>
              <w:rPr>
                <w:lang w:val="en-US"/>
              </w:rPr>
            </w:pPr>
            <w:r w:rsidRPr="007848D0">
              <w:rPr>
                <w:lang w:val="en-US"/>
              </w:rPr>
              <w:t xml:space="preserve">To </w:t>
            </w:r>
            <w:r w:rsidRPr="007848D0">
              <w:rPr>
                <w:lang w:val="en-US" w:eastAsia="en-US"/>
              </w:rPr>
              <w:t xml:space="preserve">approve the report of the internal audit and control department on the implementation of its plan of activities in 2015, </w:t>
            </w:r>
            <w:r w:rsidRPr="007848D0">
              <w:rPr>
                <w:lang w:val="en"/>
              </w:rPr>
              <w:t xml:space="preserve">in accordance with Annex 3 to </w:t>
            </w:r>
            <w:r w:rsidRPr="007848D0">
              <w:rPr>
                <w:lang w:val="en-US"/>
              </w:rPr>
              <w:t>the resolution of the BoD</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b/>
                <w:sz w:val="24"/>
                <w:szCs w:val="24"/>
                <w:lang w:val="en-US"/>
              </w:rPr>
            </w:pPr>
            <w:r w:rsidRPr="007848D0">
              <w:rPr>
                <w:rFonts w:ascii="Times New Roman" w:hAnsi="Times New Roman" w:cs="Times New Roman"/>
                <w:b/>
                <w:sz w:val="24"/>
                <w:szCs w:val="24"/>
                <w:lang w:val="en-US"/>
              </w:rPr>
              <w:t>Disclosure of insider information on item No. 5 “On discussion of report of the sole executive body of the Company on management of the Company's key operational risks in 2015”</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2.2.5  Decision adopted by issuer’s Board of Directors:</w:t>
            </w:r>
          </w:p>
          <w:p w:rsidR="004A36F0" w:rsidRPr="007848D0" w:rsidRDefault="004A36F0" w:rsidP="000069DD">
            <w:pPr>
              <w:widowControl w:val="0"/>
              <w:overflowPunct w:val="0"/>
              <w:adjustRightInd w:val="0"/>
              <w:spacing w:line="225" w:lineRule="auto"/>
              <w:ind w:right="400"/>
              <w:jc w:val="both"/>
              <w:rPr>
                <w:lang w:val="en-US"/>
              </w:rPr>
            </w:pPr>
            <w:r w:rsidRPr="007848D0">
              <w:rPr>
                <w:iCs/>
                <w:lang w:val="en-US"/>
              </w:rPr>
              <w:t>1.</w:t>
            </w:r>
            <w:r w:rsidR="006C14BD" w:rsidRPr="007848D0">
              <w:rPr>
                <w:iCs/>
                <w:lang w:val="en-US"/>
              </w:rPr>
              <w:t xml:space="preserve">To take into consideration the report of </w:t>
            </w:r>
            <w:r w:rsidR="006C14BD" w:rsidRPr="007848D0">
              <w:rPr>
                <w:lang w:val="en-US"/>
              </w:rPr>
              <w:t>the sole executive body of the Company on management of the Company's key operational risks in 2015</w:t>
            </w:r>
            <w:r w:rsidR="006C14BD" w:rsidRPr="007848D0">
              <w:rPr>
                <w:lang w:val="en-US" w:eastAsia="en-US"/>
              </w:rPr>
              <w:t xml:space="preserve">, </w:t>
            </w:r>
            <w:r w:rsidR="006C14BD" w:rsidRPr="007848D0">
              <w:rPr>
                <w:lang w:val="en"/>
              </w:rPr>
              <w:t xml:space="preserve">in accordance with Annex </w:t>
            </w:r>
            <w:r w:rsidR="006C14BD" w:rsidRPr="007848D0">
              <w:rPr>
                <w:lang w:val="en"/>
              </w:rPr>
              <w:t>4</w:t>
            </w:r>
            <w:r w:rsidR="006C14BD" w:rsidRPr="007848D0">
              <w:rPr>
                <w:lang w:val="en"/>
              </w:rPr>
              <w:t xml:space="preserve"> to </w:t>
            </w:r>
            <w:r w:rsidR="006C14BD" w:rsidRPr="007848D0">
              <w:rPr>
                <w:lang w:val="en-US"/>
              </w:rPr>
              <w:t>the resolution of the BoD</w:t>
            </w:r>
            <w:r w:rsidRPr="007848D0">
              <w:rPr>
                <w:iCs/>
                <w:lang w:val="en-US"/>
              </w:rPr>
              <w:t>.</w:t>
            </w:r>
          </w:p>
          <w:p w:rsidR="004A36F0" w:rsidRPr="007848D0" w:rsidRDefault="004A36F0" w:rsidP="000069DD">
            <w:pPr>
              <w:widowControl w:val="0"/>
              <w:overflowPunct w:val="0"/>
              <w:adjustRightInd w:val="0"/>
              <w:spacing w:line="213" w:lineRule="auto"/>
              <w:jc w:val="both"/>
              <w:rPr>
                <w:iCs/>
                <w:lang w:val="en-US"/>
              </w:rPr>
            </w:pPr>
            <w:r w:rsidRPr="007848D0">
              <w:rPr>
                <w:iCs/>
                <w:lang w:val="en-US"/>
              </w:rPr>
              <w:t>2.</w:t>
            </w:r>
            <w:r w:rsidR="009F4AC6" w:rsidRPr="007848D0">
              <w:rPr>
                <w:iCs/>
                <w:lang w:val="en-US"/>
              </w:rPr>
              <w:t>The following key operational risks occurred in the reporting period:</w:t>
            </w:r>
            <w:r w:rsidRPr="007848D0">
              <w:rPr>
                <w:iCs/>
                <w:lang w:val="en-US"/>
              </w:rPr>
              <w:t xml:space="preserve">: </w:t>
            </w:r>
          </w:p>
          <w:p w:rsidR="005C0EE4" w:rsidRPr="007848D0" w:rsidRDefault="004A36F0" w:rsidP="000069DD">
            <w:pPr>
              <w:widowControl w:val="0"/>
              <w:overflowPunct w:val="0"/>
              <w:adjustRightInd w:val="0"/>
              <w:spacing w:line="213" w:lineRule="auto"/>
              <w:jc w:val="both"/>
              <w:rPr>
                <w:iCs/>
                <w:lang w:val="en-US"/>
              </w:rPr>
            </w:pPr>
            <w:r w:rsidRPr="007848D0">
              <w:rPr>
                <w:iCs/>
                <w:lang w:val="en-US"/>
              </w:rPr>
              <w:t>2.1.</w:t>
            </w:r>
            <w:r w:rsidR="009F4AC6" w:rsidRPr="007848D0">
              <w:rPr>
                <w:lang w:val="en-US"/>
              </w:rPr>
              <w:t xml:space="preserve"> </w:t>
            </w:r>
            <w:r w:rsidR="005C0EE4" w:rsidRPr="007848D0">
              <w:rPr>
                <w:iCs/>
                <w:lang w:val="en-US"/>
              </w:rPr>
              <w:t>KOR</w:t>
            </w:r>
            <w:r w:rsidRPr="007848D0">
              <w:rPr>
                <w:iCs/>
                <w:lang w:val="en-US"/>
              </w:rPr>
              <w:t xml:space="preserve"> 004 – </w:t>
            </w:r>
            <w:r w:rsidR="005C0EE4" w:rsidRPr="007848D0">
              <w:rPr>
                <w:iCs/>
                <w:lang w:val="en-US"/>
              </w:rPr>
              <w:t>“</w:t>
            </w:r>
            <w:r w:rsidR="005C0EE4" w:rsidRPr="007848D0">
              <w:rPr>
                <w:lang w:val="en-US"/>
              </w:rPr>
              <w:t xml:space="preserve">The risk of deviation </w:t>
            </w:r>
            <w:r w:rsidR="005C0EE4" w:rsidRPr="007848D0">
              <w:rPr>
                <w:lang w:val="en-US"/>
              </w:rPr>
              <w:t>of expenses on purchase of electric energy from the expenses stated in the business plan</w:t>
            </w:r>
            <w:r w:rsidR="005C0EE4" w:rsidRPr="007848D0">
              <w:rPr>
                <w:iCs/>
                <w:lang w:val="en-US"/>
              </w:rPr>
              <w:t xml:space="preserve">”; </w:t>
            </w:r>
          </w:p>
          <w:p w:rsidR="005C0EE4" w:rsidRPr="007848D0" w:rsidRDefault="004A36F0" w:rsidP="000069DD">
            <w:pPr>
              <w:widowControl w:val="0"/>
              <w:overflowPunct w:val="0"/>
              <w:adjustRightInd w:val="0"/>
              <w:spacing w:line="213" w:lineRule="auto"/>
              <w:jc w:val="both"/>
              <w:rPr>
                <w:iCs/>
                <w:lang w:val="en-US"/>
              </w:rPr>
            </w:pPr>
            <w:r w:rsidRPr="007848D0">
              <w:rPr>
                <w:iCs/>
                <w:lang w:val="en-US"/>
              </w:rPr>
              <w:t>2.2.</w:t>
            </w:r>
            <w:r w:rsidR="005C0EE4" w:rsidRPr="007848D0">
              <w:rPr>
                <w:iCs/>
                <w:lang w:val="en-US"/>
              </w:rPr>
              <w:t xml:space="preserve"> </w:t>
            </w:r>
            <w:r w:rsidR="005C0EE4" w:rsidRPr="007848D0">
              <w:rPr>
                <w:iCs/>
                <w:lang w:val="en-US"/>
              </w:rPr>
              <w:t xml:space="preserve">KOR </w:t>
            </w:r>
            <w:r w:rsidR="005C0EE4" w:rsidRPr="007848D0">
              <w:rPr>
                <w:iCs/>
                <w:lang w:val="en-US"/>
              </w:rPr>
              <w:t>007 – “</w:t>
            </w:r>
            <w:r w:rsidR="005C0EE4" w:rsidRPr="007848D0">
              <w:rPr>
                <w:lang w:val="en-US"/>
              </w:rPr>
              <w:t xml:space="preserve">The risk of deviation of overdue receivables from the value set in the </w:t>
            </w:r>
            <w:r w:rsidR="005C0EE4" w:rsidRPr="007848D0">
              <w:rPr>
                <w:lang w:val="en-US"/>
              </w:rPr>
              <w:t>business plan</w:t>
            </w:r>
            <w:r w:rsidR="005C0EE4" w:rsidRPr="007848D0">
              <w:rPr>
                <w:iCs/>
                <w:lang w:val="en-US"/>
              </w:rPr>
              <w:t>”</w:t>
            </w:r>
            <w:r w:rsidRPr="007848D0">
              <w:rPr>
                <w:iCs/>
                <w:lang w:val="en-US"/>
              </w:rPr>
              <w:t xml:space="preserve">; </w:t>
            </w:r>
          </w:p>
          <w:p w:rsidR="004A36F0" w:rsidRPr="007848D0" w:rsidRDefault="004A36F0" w:rsidP="000069DD">
            <w:pPr>
              <w:widowControl w:val="0"/>
              <w:overflowPunct w:val="0"/>
              <w:adjustRightInd w:val="0"/>
              <w:spacing w:line="213" w:lineRule="auto"/>
              <w:jc w:val="both"/>
              <w:rPr>
                <w:lang w:val="en-US"/>
              </w:rPr>
            </w:pPr>
            <w:r w:rsidRPr="007848D0">
              <w:rPr>
                <w:iCs/>
                <w:lang w:val="en-US"/>
              </w:rPr>
              <w:t>2.3.</w:t>
            </w:r>
            <w:r w:rsidR="005C0EE4" w:rsidRPr="007848D0">
              <w:rPr>
                <w:iCs/>
                <w:lang w:val="en-US"/>
              </w:rPr>
              <w:t xml:space="preserve"> </w:t>
            </w:r>
            <w:r w:rsidR="005C0EE4" w:rsidRPr="007848D0">
              <w:rPr>
                <w:iCs/>
                <w:lang w:val="en-US"/>
              </w:rPr>
              <w:t xml:space="preserve">KOR </w:t>
            </w:r>
            <w:r w:rsidRPr="007848D0">
              <w:rPr>
                <w:iCs/>
                <w:lang w:val="en-US"/>
              </w:rPr>
              <w:t xml:space="preserve">015 – </w:t>
            </w:r>
            <w:r w:rsidR="005C0EE4" w:rsidRPr="007848D0">
              <w:rPr>
                <w:iCs/>
                <w:lang w:val="en-US"/>
              </w:rPr>
              <w:t>“The risk of an accident due to a fault of the Company”</w:t>
            </w:r>
            <w:r w:rsidRPr="007848D0">
              <w:rPr>
                <w:iCs/>
                <w:lang w:val="en-US"/>
              </w:rPr>
              <w:t>.</w:t>
            </w:r>
          </w:p>
          <w:p w:rsidR="00D47366" w:rsidRPr="007848D0" w:rsidRDefault="00D47366" w:rsidP="00D47366">
            <w:pPr>
              <w:widowControl w:val="0"/>
              <w:adjustRightInd w:val="0"/>
              <w:rPr>
                <w:lang w:val="en-US"/>
              </w:rPr>
            </w:pPr>
            <w:r w:rsidRPr="007848D0">
              <w:rPr>
                <w:lang w:val="en-US"/>
              </w:rPr>
              <w:t>3. Mark the realization in the reporting period of the main risks and other business processes of the Company:</w:t>
            </w:r>
          </w:p>
          <w:p w:rsidR="00D47366" w:rsidRPr="007848D0" w:rsidRDefault="00D47366" w:rsidP="00D47366">
            <w:pPr>
              <w:widowControl w:val="0"/>
              <w:adjustRightInd w:val="0"/>
              <w:rPr>
                <w:lang w:val="en-US"/>
              </w:rPr>
            </w:pPr>
            <w:r w:rsidRPr="007848D0">
              <w:rPr>
                <w:lang w:val="en-US"/>
              </w:rPr>
              <w:t>3.1. The risk of recognition not in full costs for tariff formation;</w:t>
            </w:r>
          </w:p>
          <w:p w:rsidR="00D47366" w:rsidRPr="007848D0" w:rsidRDefault="00D47366" w:rsidP="00D47366">
            <w:pPr>
              <w:widowControl w:val="0"/>
              <w:adjustRightInd w:val="0"/>
              <w:rPr>
                <w:lang w:val="en-US"/>
              </w:rPr>
            </w:pPr>
            <w:r w:rsidRPr="007848D0">
              <w:rPr>
                <w:lang w:val="en-US"/>
              </w:rPr>
              <w:t>3.2. Growth of unregulated prices for the purchase of losses compared to the indicative price adopted by technology of immediate result;</w:t>
            </w:r>
          </w:p>
          <w:p w:rsidR="00D47366" w:rsidRPr="007848D0" w:rsidRDefault="00D47366" w:rsidP="00D47366">
            <w:pPr>
              <w:widowControl w:val="0"/>
              <w:adjustRightInd w:val="0"/>
              <w:rPr>
                <w:lang w:val="en-US"/>
              </w:rPr>
            </w:pPr>
            <w:r w:rsidRPr="007848D0">
              <w:rPr>
                <w:lang w:val="en-US"/>
              </w:rPr>
              <w:t>3.3. Growth of uncollectable accounts receivable for the electric energy transmission services;</w:t>
            </w:r>
          </w:p>
          <w:p w:rsidR="00D47366" w:rsidRPr="007848D0" w:rsidRDefault="00D47366" w:rsidP="00D47366">
            <w:pPr>
              <w:widowControl w:val="0"/>
              <w:adjustRightInd w:val="0"/>
              <w:rPr>
                <w:lang w:val="en-US"/>
              </w:rPr>
            </w:pPr>
            <w:r w:rsidRPr="007848D0">
              <w:rPr>
                <w:lang w:val="en-US"/>
              </w:rPr>
              <w:t>3.4. The significant growth of overdue accounts receivable for the electric energy transmission services;</w:t>
            </w:r>
          </w:p>
          <w:p w:rsidR="007D20EC" w:rsidRPr="007848D0" w:rsidRDefault="007D20EC" w:rsidP="007D20EC">
            <w:pPr>
              <w:widowControl w:val="0"/>
              <w:adjustRightInd w:val="0"/>
              <w:rPr>
                <w:lang w:val="en-US"/>
              </w:rPr>
            </w:pPr>
            <w:r w:rsidRPr="007848D0">
              <w:rPr>
                <w:lang w:val="en-US"/>
              </w:rPr>
              <w:t>3.5. The occurrence of deficit in source of financing the activities under the contracts for technological connection;</w:t>
            </w:r>
          </w:p>
          <w:p w:rsidR="007D20EC" w:rsidRPr="007848D0" w:rsidRDefault="007D20EC" w:rsidP="007D20EC">
            <w:pPr>
              <w:widowControl w:val="0"/>
              <w:adjustRightInd w:val="0"/>
              <w:rPr>
                <w:lang w:val="en-US"/>
              </w:rPr>
            </w:pPr>
            <w:r w:rsidRPr="007848D0">
              <w:rPr>
                <w:lang w:val="en-US"/>
              </w:rPr>
              <w:t>3.6.</w:t>
            </w:r>
            <w:r w:rsidRPr="007848D0">
              <w:rPr>
                <w:bCs/>
                <w:shd w:val="clear" w:color="auto" w:fill="FFFFFF"/>
                <w:lang w:val="en-US"/>
              </w:rPr>
              <w:t xml:space="preserve"> Occupational injury</w:t>
            </w:r>
            <w:r w:rsidRPr="007848D0">
              <w:rPr>
                <w:lang w:val="en-US"/>
              </w:rPr>
              <w:t>;</w:t>
            </w:r>
          </w:p>
          <w:p w:rsidR="007D20EC" w:rsidRPr="007848D0" w:rsidRDefault="007D20EC" w:rsidP="007D20EC">
            <w:pPr>
              <w:widowControl w:val="0"/>
              <w:adjustRightInd w:val="0"/>
              <w:rPr>
                <w:lang w:val="en-US"/>
              </w:rPr>
            </w:pPr>
            <w:r w:rsidRPr="007848D0">
              <w:rPr>
                <w:lang w:val="en-US"/>
              </w:rPr>
              <w:t xml:space="preserve">3.7. Injury to third parties at installations of the Company; </w:t>
            </w:r>
          </w:p>
          <w:p w:rsidR="007D20EC" w:rsidRPr="007848D0" w:rsidRDefault="007D20EC" w:rsidP="007D20EC">
            <w:pPr>
              <w:widowControl w:val="0"/>
              <w:adjustRightInd w:val="0"/>
              <w:rPr>
                <w:lang w:val="en-US"/>
              </w:rPr>
            </w:pPr>
            <w:r w:rsidRPr="007848D0">
              <w:rPr>
                <w:lang w:val="en-US"/>
              </w:rPr>
              <w:t>3.8. Electricity theft.</w:t>
            </w:r>
          </w:p>
          <w:p w:rsidR="007D20EC" w:rsidRPr="007848D0" w:rsidRDefault="007D20EC" w:rsidP="007D20EC">
            <w:pPr>
              <w:widowControl w:val="0"/>
              <w:adjustRightInd w:val="0"/>
              <w:rPr>
                <w:lang w:val="en-US"/>
              </w:rPr>
            </w:pPr>
            <w:r w:rsidRPr="007848D0">
              <w:rPr>
                <w:lang w:val="en-US"/>
              </w:rPr>
              <w:t xml:space="preserve">4. The sole executive body shall ensure in the planning for 2016 additional measures to reduce the </w:t>
            </w:r>
            <w:r w:rsidRPr="007848D0">
              <w:rPr>
                <w:lang w:val="en-US"/>
              </w:rPr>
              <w:t>occurred</w:t>
            </w:r>
            <w:r w:rsidRPr="007848D0">
              <w:rPr>
                <w:lang w:val="en-US"/>
              </w:rPr>
              <w:t xml:space="preserve"> in 2015 risks.</w:t>
            </w:r>
          </w:p>
          <w:p w:rsidR="004A36F0" w:rsidRPr="007848D0" w:rsidRDefault="007D20EC" w:rsidP="007D20EC">
            <w:pPr>
              <w:widowControl w:val="0"/>
              <w:adjustRightInd w:val="0"/>
              <w:rPr>
                <w:lang w:val="en-US"/>
              </w:rPr>
            </w:pPr>
            <w:r w:rsidRPr="007848D0">
              <w:rPr>
                <w:lang w:val="en-US"/>
              </w:rPr>
              <w:lastRenderedPageBreak/>
              <w:t>5. To recommend a monthly review of risks, implemented in 2015, at the meetings of the Management Board.</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b/>
                <w:sz w:val="24"/>
                <w:szCs w:val="24"/>
                <w:lang w:val="en-US"/>
              </w:rPr>
            </w:pPr>
            <w:r w:rsidRPr="007848D0">
              <w:rPr>
                <w:rFonts w:ascii="Times New Roman" w:hAnsi="Times New Roman" w:cs="Times New Roman"/>
                <w:b/>
                <w:sz w:val="24"/>
                <w:szCs w:val="24"/>
                <w:lang w:val="en-US"/>
              </w:rPr>
              <w:lastRenderedPageBreak/>
              <w:t>Disclosure of insider information on item No. 6 “On consideration of report on effectiveness of internal control and risk management of “Kubanenergo” PJSC, following the results of 2015, including assessment of the quality of the internal audit function”</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2.2.6  Decision adopted by issuer’s Board of Directors:</w:t>
            </w:r>
          </w:p>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To take into consideration the report on effectiveness of internal control and risk management of “Kubanenergo” PJSC, following the results of 2015, including assessment of the quality of the internal audit function, </w:t>
            </w:r>
            <w:r w:rsidRPr="007848D0">
              <w:rPr>
                <w:rFonts w:ascii="Times New Roman" w:hAnsi="Times New Roman" w:cs="Times New Roman"/>
                <w:sz w:val="24"/>
                <w:szCs w:val="24"/>
                <w:lang w:val="en"/>
              </w:rPr>
              <w:t xml:space="preserve">in accordance with Annex 5 to </w:t>
            </w:r>
            <w:r w:rsidRPr="007848D0">
              <w:rPr>
                <w:rFonts w:ascii="Times New Roman" w:hAnsi="Times New Roman" w:cs="Times New Roman"/>
                <w:sz w:val="24"/>
                <w:szCs w:val="24"/>
                <w:lang w:val="en-US"/>
              </w:rPr>
              <w:t>the resolution of the BoD</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t>Disclosure of insider information on item No. 7 “On approval of the Agreement on implementation of building inspection at facilities of electric grids of “Kubanenergo” PJSC between “Kubanenergo” PJSC and “Scientific and Research Centre of IDGC” as an interested party transaction”</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2.2.7  Decision adopted by issuer’s Board of Directors:</w:t>
            </w:r>
          </w:p>
          <w:p w:rsidR="00E82E6D" w:rsidRPr="007848D0" w:rsidRDefault="00E82E6D" w:rsidP="00E82E6D">
            <w:pPr>
              <w:jc w:val="both"/>
              <w:rPr>
                <w:lang w:val="en-US"/>
              </w:rPr>
            </w:pPr>
            <w:r w:rsidRPr="007848D0">
              <w:rPr>
                <w:lang w:val="en-US"/>
              </w:rPr>
              <w:t>1. To determine the maximum price of the contract for the provision of building inspection at the facilities of electric grid complex of Kubanenergo PJSC between Kubanenergo PJSC and</w:t>
            </w:r>
            <w:r w:rsidRPr="007848D0">
              <w:rPr>
                <w:b/>
                <w:lang w:val="en-US"/>
              </w:rPr>
              <w:t xml:space="preserve"> </w:t>
            </w:r>
            <w:r w:rsidRPr="007848D0">
              <w:rPr>
                <w:lang w:val="en-US"/>
              </w:rPr>
              <w:t>“Scientific and Research Centre of IDGC” , as an interested party transaction, the amount of which is 1 924 565 (one million nine hundred twenty four thousand five hundred sixty five) rubles 44 kopecks, including VAT at the rate of 18% - 293 577 (two hundred and ninety three thousand five hundred seventy seven) rubles 78 kopecks.</w:t>
            </w:r>
          </w:p>
          <w:p w:rsidR="00E82E6D" w:rsidRPr="007848D0" w:rsidRDefault="00E82E6D" w:rsidP="00E82E6D">
            <w:pPr>
              <w:jc w:val="both"/>
              <w:rPr>
                <w:lang w:val="en-US"/>
              </w:rPr>
            </w:pPr>
            <w:r w:rsidRPr="007848D0">
              <w:rPr>
                <w:lang w:val="en-US"/>
              </w:rPr>
              <w:t>2. To approve the contract for the provision of building inspection at the facilities of electric grid complex of Kubanenergo PJSC between Kubanenergo PJSC and</w:t>
            </w:r>
            <w:r w:rsidRPr="007848D0">
              <w:rPr>
                <w:b/>
                <w:lang w:val="en-US"/>
              </w:rPr>
              <w:t xml:space="preserve"> </w:t>
            </w:r>
            <w:r w:rsidRPr="007848D0">
              <w:rPr>
                <w:lang w:val="en-US"/>
              </w:rPr>
              <w:t>“Scientific and Research Centre of IDGC” (hereinafter - the Contract), as an interested party transaction, on the following conditions:</w:t>
            </w:r>
          </w:p>
          <w:p w:rsidR="00E82E6D" w:rsidRPr="007848D0" w:rsidRDefault="00E82E6D" w:rsidP="00E82E6D">
            <w:pPr>
              <w:jc w:val="both"/>
              <w:rPr>
                <w:b/>
                <w:lang w:val="en-US"/>
              </w:rPr>
            </w:pPr>
            <w:r w:rsidRPr="007848D0">
              <w:rPr>
                <w:b/>
                <w:lang w:val="en-US"/>
              </w:rPr>
              <w:t>Parties to the Contract:</w:t>
            </w:r>
          </w:p>
          <w:p w:rsidR="00E82E6D" w:rsidRPr="007848D0" w:rsidRDefault="00E82E6D" w:rsidP="00E82E6D">
            <w:pPr>
              <w:jc w:val="both"/>
              <w:rPr>
                <w:lang w:val="en-US"/>
              </w:rPr>
            </w:pPr>
            <w:r w:rsidRPr="007848D0">
              <w:rPr>
                <w:lang w:val="en-US"/>
              </w:rPr>
              <w:t>Customer: Kubanenergo PJSC</w:t>
            </w:r>
          </w:p>
          <w:p w:rsidR="00E82E6D" w:rsidRPr="007848D0" w:rsidRDefault="00E82E6D" w:rsidP="00E82E6D">
            <w:pPr>
              <w:jc w:val="both"/>
              <w:rPr>
                <w:lang w:val="en-US"/>
              </w:rPr>
            </w:pPr>
            <w:r w:rsidRPr="007848D0">
              <w:rPr>
                <w:lang w:val="en-US"/>
              </w:rPr>
              <w:t>Contractor: “Scientific and Research Centre of IDGC” JSC</w:t>
            </w:r>
          </w:p>
          <w:p w:rsidR="00E82E6D" w:rsidRPr="007848D0" w:rsidRDefault="00E82E6D" w:rsidP="00E82E6D">
            <w:pPr>
              <w:jc w:val="both"/>
              <w:rPr>
                <w:b/>
                <w:lang w:val="en-US"/>
              </w:rPr>
            </w:pPr>
            <w:r w:rsidRPr="007848D0">
              <w:rPr>
                <w:b/>
                <w:lang w:val="en-US"/>
              </w:rPr>
              <w:t>Subject of the Contract:</w:t>
            </w:r>
          </w:p>
          <w:p w:rsidR="00E82E6D" w:rsidRPr="007848D0" w:rsidRDefault="00E82E6D" w:rsidP="00E82E6D">
            <w:pPr>
              <w:jc w:val="both"/>
              <w:rPr>
                <w:lang w:val="en-US"/>
              </w:rPr>
            </w:pPr>
            <w:r w:rsidRPr="007848D0">
              <w:rPr>
                <w:lang w:val="en-US"/>
              </w:rPr>
              <w:t>Under the Contract, the Contractor undertakes under the Terms of Reference of the Customer (Annex # 1 to the Contract) to provide a range of construction supervision services at the Facility of Kubanenergo PJSC branch – Southwest electrical networks: “Construction of 110 kV line connections to substation “</w:t>
            </w:r>
            <w:proofErr w:type="spellStart"/>
            <w:r w:rsidRPr="007848D0">
              <w:rPr>
                <w:lang w:val="en-US"/>
              </w:rPr>
              <w:t>Pionerskaya</w:t>
            </w:r>
            <w:proofErr w:type="spellEnd"/>
            <w:r w:rsidRPr="007848D0">
              <w:rPr>
                <w:lang w:val="en-US"/>
              </w:rPr>
              <w:t>” (hereinafter - the Services) and the Customer shall, upon the implementation, accept and pay for these services.</w:t>
            </w:r>
          </w:p>
          <w:p w:rsidR="00E82E6D" w:rsidRPr="007848D0" w:rsidRDefault="00E82E6D" w:rsidP="00E82E6D">
            <w:pPr>
              <w:jc w:val="both"/>
              <w:rPr>
                <w:lang w:val="en-US"/>
              </w:rPr>
            </w:pPr>
            <w:r w:rsidRPr="007848D0">
              <w:rPr>
                <w:lang w:val="en-US"/>
              </w:rPr>
              <w:t>Contract Terms apply to all the Contractor's services provided by the Terms of Reference in accordance with the Application.</w:t>
            </w:r>
          </w:p>
          <w:p w:rsidR="00E82E6D" w:rsidRPr="007848D0" w:rsidRDefault="00E82E6D" w:rsidP="00E82E6D">
            <w:pPr>
              <w:jc w:val="both"/>
              <w:rPr>
                <w:b/>
                <w:lang w:val="en-US"/>
              </w:rPr>
            </w:pPr>
            <w:r w:rsidRPr="007848D0">
              <w:rPr>
                <w:b/>
                <w:lang w:val="en-US"/>
              </w:rPr>
              <w:t>Price of the Contract:</w:t>
            </w:r>
          </w:p>
          <w:p w:rsidR="00E82E6D" w:rsidRPr="007848D0" w:rsidRDefault="00E82E6D" w:rsidP="00E82E6D">
            <w:pPr>
              <w:jc w:val="both"/>
              <w:rPr>
                <w:lang w:val="en-US"/>
              </w:rPr>
            </w:pPr>
            <w:r w:rsidRPr="007848D0">
              <w:rPr>
                <w:lang w:val="en-US"/>
              </w:rPr>
              <w:t>The maximum total cost of the Services under this Contract is 1 924 565 (one million nine hundred twenty four thousand five hundred sixty five) rubles 44 kopecks, including VAT at the rate of 18% - 293 577 (two hundred and ninety three thousand five hundred seventy seven) rubles 78 kopecks.</w:t>
            </w:r>
          </w:p>
          <w:p w:rsidR="00E82E6D" w:rsidRPr="007848D0" w:rsidRDefault="00E82E6D" w:rsidP="00E82E6D">
            <w:pPr>
              <w:jc w:val="both"/>
              <w:rPr>
                <w:b/>
                <w:lang w:val="en-US"/>
              </w:rPr>
            </w:pPr>
            <w:r w:rsidRPr="007848D0">
              <w:rPr>
                <w:b/>
                <w:lang w:val="en-US"/>
              </w:rPr>
              <w:t>Contract period:</w:t>
            </w:r>
          </w:p>
          <w:p w:rsidR="00E82E6D" w:rsidRPr="007848D0" w:rsidRDefault="00E82E6D" w:rsidP="00E82E6D">
            <w:pPr>
              <w:jc w:val="both"/>
              <w:rPr>
                <w:lang w:val="en-US"/>
              </w:rPr>
            </w:pPr>
            <w:r w:rsidRPr="007848D0">
              <w:rPr>
                <w:lang w:val="en-US"/>
              </w:rPr>
              <w:t>The Contract shall enter into force upon the signature and is valid until the date of approval of the last act of acceptance of the completed project listed in Appendix #10 according to the schedule of the contract between the customer and building contractors, and until Parties fulfill  their obligations.</w:t>
            </w:r>
          </w:p>
          <w:p w:rsidR="00E82E6D" w:rsidRPr="007848D0" w:rsidRDefault="00E82E6D" w:rsidP="00E82E6D">
            <w:pPr>
              <w:jc w:val="both"/>
              <w:rPr>
                <w:b/>
                <w:lang w:val="en-US"/>
              </w:rPr>
            </w:pPr>
            <w:r w:rsidRPr="007848D0">
              <w:rPr>
                <w:b/>
                <w:lang w:val="en-US"/>
              </w:rPr>
              <w:t>Settlement of disputes:</w:t>
            </w:r>
          </w:p>
          <w:p w:rsidR="00E82E6D" w:rsidRPr="007848D0" w:rsidRDefault="00E82E6D" w:rsidP="00E82E6D">
            <w:pPr>
              <w:jc w:val="both"/>
              <w:rPr>
                <w:lang w:val="en-US"/>
              </w:rPr>
            </w:pPr>
            <w:r w:rsidRPr="007848D0">
              <w:rPr>
                <w:lang w:val="en-US"/>
              </w:rPr>
              <w:t>This Contract is governed by Russian law.</w:t>
            </w:r>
          </w:p>
          <w:p w:rsidR="00E82E6D" w:rsidRPr="007848D0" w:rsidRDefault="00E82E6D" w:rsidP="00E82E6D">
            <w:pPr>
              <w:jc w:val="both"/>
              <w:rPr>
                <w:lang w:val="en-US"/>
              </w:rPr>
            </w:pPr>
            <w:r w:rsidRPr="007848D0">
              <w:rPr>
                <w:lang w:val="en-US"/>
              </w:rPr>
              <w:t>In the event of disputes, requests and (or) claims on matters provided for in the Contract or in connection with it, the Parties shall take all feasible and reasonable steps to resolve them through negotiations. Observance of pre-trial procedure in dealing with disputes is binding on the parties. If the dispute, request, and (or) the claim is not settled by negotiation within 30 (thirty) days from the date of the first written notice of the existence of a dispute, requests or claims, any of the Parties to the Treaty may apply to the Court of Arbitration.</w:t>
            </w:r>
          </w:p>
          <w:p w:rsidR="00430ED3" w:rsidRPr="007848D0" w:rsidRDefault="00E82E6D" w:rsidP="00E82E6D">
            <w:pPr>
              <w:jc w:val="both"/>
              <w:rPr>
                <w:lang w:val="en-US"/>
              </w:rPr>
            </w:pPr>
            <w:r w:rsidRPr="007848D0">
              <w:rPr>
                <w:lang w:val="en-US"/>
              </w:rPr>
              <w:lastRenderedPageBreak/>
              <w:t>All unresolved disputes, requests and (or) claims arising out of the Contractor in connection with it, including disputes regarding its existence, validity, performance or termination, shall be referred to the arbitration court at the Customer's location.</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9444BA">
            <w:pPr>
              <w:pStyle w:val="a5"/>
              <w:jc w:val="both"/>
              <w:rPr>
                <w:rFonts w:ascii="Times New Roman" w:hAnsi="Times New Roman" w:cs="Times New Roman"/>
                <w:b/>
                <w:sz w:val="24"/>
                <w:szCs w:val="24"/>
                <w:lang w:val="en-US"/>
              </w:rPr>
            </w:pPr>
            <w:r w:rsidRPr="007848D0">
              <w:rPr>
                <w:rFonts w:ascii="Times New Roman" w:hAnsi="Times New Roman" w:cs="Times New Roman"/>
                <w:b/>
                <w:sz w:val="24"/>
                <w:szCs w:val="24"/>
                <w:lang w:val="en-US"/>
              </w:rPr>
              <w:lastRenderedPageBreak/>
              <w:t>Disclosure of insider information on item No. 8 “</w:t>
            </w:r>
            <w:r w:rsidR="00430ED3" w:rsidRPr="007848D0">
              <w:rPr>
                <w:rFonts w:ascii="Times New Roman" w:hAnsi="Times New Roman" w:cs="Times New Roman"/>
                <w:b/>
                <w:sz w:val="24"/>
                <w:szCs w:val="24"/>
                <w:lang w:val="en-US"/>
              </w:rPr>
              <w:t xml:space="preserve">On approval of the </w:t>
            </w:r>
            <w:r w:rsidR="00430ED3" w:rsidRPr="007848D0">
              <w:rPr>
                <w:rFonts w:ascii="Times New Roman" w:hAnsi="Times New Roman" w:cs="Times New Roman"/>
                <w:b/>
                <w:sz w:val="24"/>
                <w:szCs w:val="24"/>
                <w:shd w:val="clear" w:color="auto" w:fill="FFFFFF"/>
                <w:lang w:val="en-US"/>
              </w:rPr>
              <w:t xml:space="preserve">contract for provision of services to support normative and reference information management for the needs of </w:t>
            </w:r>
            <w:r w:rsidR="00430ED3" w:rsidRPr="007848D0">
              <w:rPr>
                <w:rFonts w:ascii="Times New Roman" w:hAnsi="Times New Roman" w:cs="Times New Roman"/>
                <w:b/>
                <w:sz w:val="24"/>
                <w:szCs w:val="24"/>
                <w:lang w:val="en-US"/>
              </w:rPr>
              <w:t xml:space="preserve">“Kubanenergo” PJSC and </w:t>
            </w:r>
            <w:r w:rsidR="00430ED3" w:rsidRPr="007848D0">
              <w:rPr>
                <w:rStyle w:val="a8"/>
                <w:rFonts w:ascii="Times New Roman" w:hAnsi="Times New Roman" w:cs="Times New Roman"/>
                <w:b/>
                <w:bCs/>
                <w:i w:val="0"/>
                <w:sz w:val="24"/>
                <w:szCs w:val="24"/>
                <w:shd w:val="clear" w:color="auto" w:fill="FFFFFF"/>
                <w:lang w:val="en-US"/>
              </w:rPr>
              <w:t>VOLS</w:t>
            </w:r>
            <w:r w:rsidR="00430ED3" w:rsidRPr="007848D0">
              <w:rPr>
                <w:rFonts w:ascii="Times New Roman" w:hAnsi="Times New Roman" w:cs="Times New Roman"/>
                <w:b/>
                <w:sz w:val="24"/>
                <w:szCs w:val="24"/>
                <w:shd w:val="clear" w:color="auto" w:fill="FFFFFF"/>
                <w:lang w:val="en-US"/>
              </w:rPr>
              <w:t>-</w:t>
            </w:r>
            <w:r w:rsidR="00430ED3" w:rsidRPr="007848D0">
              <w:rPr>
                <w:rStyle w:val="a8"/>
                <w:rFonts w:ascii="Times New Roman" w:hAnsi="Times New Roman" w:cs="Times New Roman"/>
                <w:b/>
                <w:bCs/>
                <w:i w:val="0"/>
                <w:sz w:val="24"/>
                <w:szCs w:val="24"/>
                <w:shd w:val="clear" w:color="auto" w:fill="FFFFFF"/>
                <w:lang w:val="en-US"/>
              </w:rPr>
              <w:t xml:space="preserve">VL </w:t>
            </w:r>
            <w:r w:rsidR="009444BA" w:rsidRPr="007848D0">
              <w:rPr>
                <w:rStyle w:val="a8"/>
                <w:rFonts w:ascii="Times New Roman" w:hAnsi="Times New Roman" w:cs="Times New Roman"/>
                <w:b/>
                <w:bCs/>
                <w:i w:val="0"/>
                <w:sz w:val="24"/>
                <w:szCs w:val="24"/>
                <w:shd w:val="clear" w:color="auto" w:fill="FFFFFF"/>
                <w:lang w:val="en-US"/>
              </w:rPr>
              <w:t>Administrator</w:t>
            </w:r>
            <w:r w:rsidR="00430ED3" w:rsidRPr="007848D0">
              <w:rPr>
                <w:rStyle w:val="apple-converted-space"/>
                <w:rFonts w:ascii="Times New Roman" w:hAnsi="Times New Roman" w:cs="Times New Roman"/>
                <w:b/>
                <w:sz w:val="24"/>
                <w:szCs w:val="24"/>
                <w:shd w:val="clear" w:color="auto" w:fill="FFFFFF"/>
                <w:lang w:val="en-US"/>
              </w:rPr>
              <w:t> </w:t>
            </w:r>
            <w:r w:rsidR="00430ED3" w:rsidRPr="007848D0">
              <w:rPr>
                <w:rFonts w:ascii="Times New Roman" w:hAnsi="Times New Roman" w:cs="Times New Roman"/>
                <w:b/>
                <w:sz w:val="24"/>
                <w:szCs w:val="24"/>
                <w:shd w:val="clear" w:color="auto" w:fill="FFFFFF"/>
                <w:lang w:val="en-US"/>
              </w:rPr>
              <w:t>JSC (Fiber-Optic Communication Line – power lines)</w:t>
            </w:r>
            <w:r w:rsidR="00430ED3" w:rsidRPr="007848D0">
              <w:rPr>
                <w:rFonts w:ascii="Times New Roman" w:hAnsi="Times New Roman" w:cs="Times New Roman"/>
                <w:b/>
                <w:sz w:val="24"/>
                <w:szCs w:val="24"/>
                <w:lang w:val="en-US"/>
              </w:rPr>
              <w:t xml:space="preserve"> as an interested party transaction</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2.2.8  Decision adopted by issuer’s Board of Directors:</w:t>
            </w:r>
          </w:p>
          <w:p w:rsidR="009444BA" w:rsidRPr="007848D0" w:rsidRDefault="009444BA" w:rsidP="004708F7">
            <w:pPr>
              <w:widowControl w:val="0"/>
              <w:overflowPunct w:val="0"/>
              <w:adjustRightInd w:val="0"/>
              <w:spacing w:line="230" w:lineRule="auto"/>
              <w:jc w:val="both"/>
              <w:rPr>
                <w:lang w:val="en-US"/>
              </w:rPr>
            </w:pPr>
            <w:r w:rsidRPr="007848D0">
              <w:rPr>
                <w:lang w:val="en-US"/>
              </w:rPr>
              <w:t xml:space="preserve">1. </w:t>
            </w:r>
            <w:r w:rsidRPr="007848D0">
              <w:rPr>
                <w:lang w:val="en-US"/>
              </w:rPr>
              <w:t xml:space="preserve">To determine the price of the contract for the provision of services to maintain reference data for the needs of Kubanenergo PJSC between Kubanenergo PJSC and </w:t>
            </w:r>
            <w:r w:rsidRPr="007848D0">
              <w:rPr>
                <w:rStyle w:val="a8"/>
                <w:bCs/>
                <w:i w:val="0"/>
                <w:shd w:val="clear" w:color="auto" w:fill="FFFFFF"/>
                <w:lang w:val="en-US"/>
              </w:rPr>
              <w:t>VOLS</w:t>
            </w:r>
            <w:r w:rsidRPr="007848D0">
              <w:rPr>
                <w:shd w:val="clear" w:color="auto" w:fill="FFFFFF"/>
                <w:lang w:val="en-US"/>
              </w:rPr>
              <w:t>-</w:t>
            </w:r>
            <w:r w:rsidRPr="007848D0">
              <w:rPr>
                <w:rStyle w:val="a8"/>
                <w:bCs/>
                <w:i w:val="0"/>
                <w:shd w:val="clear" w:color="auto" w:fill="FFFFFF"/>
                <w:lang w:val="en-US"/>
              </w:rPr>
              <w:t>VL Administrator</w:t>
            </w:r>
            <w:r w:rsidRPr="007848D0">
              <w:rPr>
                <w:rStyle w:val="apple-converted-space"/>
                <w:shd w:val="clear" w:color="auto" w:fill="FFFFFF"/>
                <w:lang w:val="en-US"/>
              </w:rPr>
              <w:t> </w:t>
            </w:r>
            <w:r w:rsidRPr="007848D0">
              <w:rPr>
                <w:shd w:val="clear" w:color="auto" w:fill="FFFFFF"/>
                <w:lang w:val="en-US"/>
              </w:rPr>
              <w:t>JSC (Fiber-Optic Communication Line – power lines)</w:t>
            </w:r>
            <w:r w:rsidRPr="007848D0">
              <w:rPr>
                <w:lang w:val="en-US"/>
              </w:rPr>
              <w:t xml:space="preserve">, as an interested party transaction, the amount of which is 7 491 297 (seven million four hundred ninety one thousand two hundred ninety seven) rubles 45 kopecks, including 18% VAT – 1 142 740 (one million one hundred and forty two thousand seven hundred forty) rubles 29 kopecks. </w:t>
            </w:r>
          </w:p>
          <w:p w:rsidR="009444BA" w:rsidRPr="007848D0" w:rsidRDefault="009444BA" w:rsidP="004708F7">
            <w:pPr>
              <w:widowControl w:val="0"/>
              <w:overflowPunct w:val="0"/>
              <w:adjustRightInd w:val="0"/>
              <w:spacing w:line="230" w:lineRule="auto"/>
              <w:jc w:val="both"/>
              <w:rPr>
                <w:lang w:val="en-US"/>
              </w:rPr>
            </w:pPr>
            <w:r w:rsidRPr="007848D0">
              <w:rPr>
                <w:lang w:val="en-US"/>
              </w:rPr>
              <w:t xml:space="preserve">2. To approve the contract for the provision of services to maintain reference data for the needs of Kubanenergo PJSC between Kubanenergo PJSC and </w:t>
            </w:r>
            <w:r w:rsidRPr="007848D0">
              <w:rPr>
                <w:rStyle w:val="a8"/>
                <w:bCs/>
                <w:i w:val="0"/>
                <w:shd w:val="clear" w:color="auto" w:fill="FFFFFF"/>
                <w:lang w:val="en-US"/>
              </w:rPr>
              <w:t>VOLS</w:t>
            </w:r>
            <w:r w:rsidRPr="007848D0">
              <w:rPr>
                <w:shd w:val="clear" w:color="auto" w:fill="FFFFFF"/>
                <w:lang w:val="en-US"/>
              </w:rPr>
              <w:t>-</w:t>
            </w:r>
            <w:r w:rsidRPr="007848D0">
              <w:rPr>
                <w:rStyle w:val="a8"/>
                <w:bCs/>
                <w:i w:val="0"/>
                <w:shd w:val="clear" w:color="auto" w:fill="FFFFFF"/>
                <w:lang w:val="en-US"/>
              </w:rPr>
              <w:t>VL Administrator</w:t>
            </w:r>
            <w:r w:rsidRPr="007848D0">
              <w:rPr>
                <w:rStyle w:val="apple-converted-space"/>
                <w:shd w:val="clear" w:color="auto" w:fill="FFFFFF"/>
                <w:lang w:val="en-US"/>
              </w:rPr>
              <w:t> </w:t>
            </w:r>
            <w:r w:rsidRPr="007848D0">
              <w:rPr>
                <w:shd w:val="clear" w:color="auto" w:fill="FFFFFF"/>
                <w:lang w:val="en-US"/>
              </w:rPr>
              <w:t>JSC (Fiber-Optic Communication Line – power lines)</w:t>
            </w:r>
            <w:r w:rsidRPr="007848D0">
              <w:rPr>
                <w:lang w:val="en-US"/>
              </w:rPr>
              <w:t xml:space="preserve"> hereinafter - the Contract), as an interested party transaction on the following conditions:</w:t>
            </w:r>
          </w:p>
          <w:p w:rsidR="009444BA" w:rsidRPr="007848D0" w:rsidRDefault="009444BA" w:rsidP="004708F7">
            <w:pPr>
              <w:jc w:val="both"/>
              <w:rPr>
                <w:b/>
                <w:lang w:val="en-US"/>
              </w:rPr>
            </w:pPr>
            <w:r w:rsidRPr="007848D0">
              <w:rPr>
                <w:b/>
                <w:lang w:val="en-US"/>
              </w:rPr>
              <w:t>Parties to the Contract:</w:t>
            </w:r>
          </w:p>
          <w:p w:rsidR="009444BA" w:rsidRPr="007848D0" w:rsidRDefault="009444BA" w:rsidP="004708F7">
            <w:pPr>
              <w:jc w:val="both"/>
              <w:rPr>
                <w:lang w:val="en-US"/>
              </w:rPr>
            </w:pPr>
            <w:r w:rsidRPr="007848D0">
              <w:rPr>
                <w:lang w:val="en-US"/>
              </w:rPr>
              <w:t>Customer:  Kubanenergo PJSC</w:t>
            </w:r>
          </w:p>
          <w:p w:rsidR="009444BA" w:rsidRPr="007848D0" w:rsidRDefault="009444BA" w:rsidP="004708F7">
            <w:pPr>
              <w:jc w:val="both"/>
              <w:rPr>
                <w:lang w:val="en-US"/>
              </w:rPr>
            </w:pPr>
            <w:r w:rsidRPr="007848D0">
              <w:rPr>
                <w:lang w:val="en-US"/>
              </w:rPr>
              <w:t xml:space="preserve">Artist:  </w:t>
            </w:r>
            <w:r w:rsidRPr="007848D0">
              <w:rPr>
                <w:rStyle w:val="a8"/>
                <w:bCs/>
                <w:i w:val="0"/>
                <w:shd w:val="clear" w:color="auto" w:fill="FFFFFF"/>
                <w:lang w:val="en-US"/>
              </w:rPr>
              <w:t>VOLS</w:t>
            </w:r>
            <w:r w:rsidRPr="007848D0">
              <w:rPr>
                <w:shd w:val="clear" w:color="auto" w:fill="FFFFFF"/>
                <w:lang w:val="en-US"/>
              </w:rPr>
              <w:t>-</w:t>
            </w:r>
            <w:r w:rsidRPr="007848D0">
              <w:rPr>
                <w:rStyle w:val="a8"/>
                <w:bCs/>
                <w:i w:val="0"/>
                <w:shd w:val="clear" w:color="auto" w:fill="FFFFFF"/>
                <w:lang w:val="en-US"/>
              </w:rPr>
              <w:t>VL Administrator</w:t>
            </w:r>
            <w:r w:rsidRPr="007848D0">
              <w:rPr>
                <w:rStyle w:val="apple-converted-space"/>
                <w:shd w:val="clear" w:color="auto" w:fill="FFFFFF"/>
                <w:lang w:val="en-US"/>
              </w:rPr>
              <w:t> </w:t>
            </w:r>
            <w:r w:rsidRPr="007848D0">
              <w:rPr>
                <w:shd w:val="clear" w:color="auto" w:fill="FFFFFF"/>
                <w:lang w:val="en-US"/>
              </w:rPr>
              <w:t>JSC (Fiber-Optic Communication Line – power lines)</w:t>
            </w:r>
          </w:p>
          <w:p w:rsidR="009444BA" w:rsidRPr="007848D0" w:rsidRDefault="009444BA" w:rsidP="004708F7">
            <w:pPr>
              <w:jc w:val="both"/>
              <w:rPr>
                <w:b/>
                <w:lang w:val="en-US"/>
              </w:rPr>
            </w:pPr>
            <w:r w:rsidRPr="007848D0">
              <w:rPr>
                <w:b/>
                <w:lang w:val="en-US"/>
              </w:rPr>
              <w:t>Subject of the Contract:</w:t>
            </w:r>
          </w:p>
          <w:p w:rsidR="009444BA" w:rsidRPr="007848D0" w:rsidRDefault="009444BA" w:rsidP="004708F7">
            <w:pPr>
              <w:jc w:val="both"/>
              <w:rPr>
                <w:lang w:val="en-US"/>
              </w:rPr>
            </w:pPr>
            <w:r w:rsidRPr="007848D0">
              <w:rPr>
                <w:lang w:val="en-US"/>
              </w:rPr>
              <w:t>In accordance with the terms of the Contract, the Contractor undertakes to provide services to maintain reference data for the needs of Kubanenergo PJSC in accordance with the Terms of Reference (Annex # 2 to the Contract), and the Customer undertakes to accept and pay for the services.</w:t>
            </w:r>
          </w:p>
          <w:p w:rsidR="009444BA" w:rsidRPr="007848D0" w:rsidRDefault="009444BA" w:rsidP="004708F7">
            <w:pPr>
              <w:jc w:val="both"/>
              <w:rPr>
                <w:lang w:val="en-US"/>
              </w:rPr>
            </w:pPr>
            <w:r w:rsidRPr="007848D0">
              <w:rPr>
                <w:lang w:val="en-US"/>
              </w:rPr>
              <w:t>Description of Services and their Stages, reporting documents for each Stage are specified in Appendix # 1 to the Contract.</w:t>
            </w:r>
          </w:p>
          <w:p w:rsidR="009444BA" w:rsidRPr="007848D0" w:rsidRDefault="009444BA" w:rsidP="004708F7">
            <w:pPr>
              <w:jc w:val="both"/>
              <w:rPr>
                <w:b/>
                <w:lang w:val="en-US"/>
              </w:rPr>
            </w:pPr>
            <w:r w:rsidRPr="007848D0">
              <w:rPr>
                <w:b/>
                <w:lang w:val="en-US"/>
              </w:rPr>
              <w:t>Price of the Contract:</w:t>
            </w:r>
          </w:p>
          <w:p w:rsidR="009444BA" w:rsidRPr="007848D0" w:rsidRDefault="009444BA" w:rsidP="004708F7">
            <w:pPr>
              <w:jc w:val="both"/>
              <w:rPr>
                <w:lang w:val="en-US"/>
              </w:rPr>
            </w:pPr>
            <w:r w:rsidRPr="007848D0">
              <w:rPr>
                <w:lang w:val="en-US"/>
              </w:rPr>
              <w:t>Contract price is 7 491 297 (seven million four hundred and ninety one thousand two hundred ninety seven) rubles 45 kopecks, including 18% VAT – 1 142 740 (one million one hundred and forty two thousand seven hundred forty) rubles 29 kopecks.</w:t>
            </w:r>
          </w:p>
          <w:p w:rsidR="009444BA" w:rsidRPr="007848D0" w:rsidRDefault="009444BA" w:rsidP="004708F7">
            <w:pPr>
              <w:jc w:val="both"/>
              <w:rPr>
                <w:b/>
                <w:lang w:val="en-US"/>
              </w:rPr>
            </w:pPr>
            <w:r w:rsidRPr="007848D0">
              <w:rPr>
                <w:b/>
                <w:lang w:val="en-US"/>
              </w:rPr>
              <w:t>Contract period:</w:t>
            </w:r>
          </w:p>
          <w:p w:rsidR="009444BA" w:rsidRPr="007848D0" w:rsidRDefault="009444BA" w:rsidP="004708F7">
            <w:pPr>
              <w:jc w:val="both"/>
              <w:rPr>
                <w:lang w:val="en-US"/>
              </w:rPr>
            </w:pPr>
            <w:r w:rsidRPr="007848D0">
              <w:rPr>
                <w:lang w:val="en-US"/>
              </w:rPr>
              <w:t xml:space="preserve">The Contract shall enter into force upon the signature and is valid until the Parties fulfill all their </w:t>
            </w:r>
            <w:proofErr w:type="gramStart"/>
            <w:r w:rsidRPr="007848D0">
              <w:rPr>
                <w:lang w:val="en-US"/>
              </w:rPr>
              <w:t>obligations,</w:t>
            </w:r>
            <w:proofErr w:type="gramEnd"/>
            <w:r w:rsidRPr="007848D0">
              <w:rPr>
                <w:lang w:val="en-US"/>
              </w:rPr>
              <w:t xml:space="preserve"> the Contract is applied to the relations of the Parties arising from 01.03.2016.</w:t>
            </w:r>
          </w:p>
          <w:p w:rsidR="009444BA" w:rsidRPr="007848D0" w:rsidRDefault="009444BA" w:rsidP="004708F7">
            <w:pPr>
              <w:jc w:val="both"/>
              <w:rPr>
                <w:lang w:val="en-US"/>
              </w:rPr>
            </w:pPr>
            <w:r w:rsidRPr="007848D0">
              <w:rPr>
                <w:b/>
                <w:lang w:val="en-US"/>
              </w:rPr>
              <w:t xml:space="preserve">Service provision period: </w:t>
            </w:r>
            <w:r w:rsidRPr="007848D0">
              <w:rPr>
                <w:lang w:val="en-US"/>
              </w:rPr>
              <w:t>commencement of services: 01.03.2016, the end of services: at the end of 36 months from the effective date of commencement of services.</w:t>
            </w:r>
          </w:p>
          <w:p w:rsidR="009444BA" w:rsidRPr="007848D0" w:rsidRDefault="009444BA" w:rsidP="004708F7">
            <w:pPr>
              <w:jc w:val="both"/>
              <w:rPr>
                <w:b/>
                <w:lang w:val="en-US"/>
              </w:rPr>
            </w:pPr>
            <w:r w:rsidRPr="007848D0">
              <w:rPr>
                <w:b/>
                <w:lang w:val="en-US"/>
              </w:rPr>
              <w:t>Settlement of disputes:</w:t>
            </w:r>
          </w:p>
          <w:p w:rsidR="004708F7" w:rsidRPr="007848D0" w:rsidRDefault="004708F7" w:rsidP="004708F7">
            <w:pPr>
              <w:jc w:val="both"/>
              <w:rPr>
                <w:lang w:val="en-US"/>
              </w:rPr>
            </w:pPr>
            <w:r w:rsidRPr="007848D0">
              <w:rPr>
                <w:lang w:val="en-US"/>
              </w:rPr>
              <w:t>All disputes, disagreements and claims arising from the contract or in connection with it, including those related to its conclusion, validity, change, implementation, infringement, cancellation, termination and efficacy are to be settled through negotiations.</w:t>
            </w:r>
          </w:p>
          <w:p w:rsidR="004708F7" w:rsidRPr="007848D0" w:rsidRDefault="004708F7" w:rsidP="004708F7">
            <w:pPr>
              <w:jc w:val="both"/>
              <w:rPr>
                <w:lang w:val="en-US"/>
              </w:rPr>
            </w:pPr>
            <w:r w:rsidRPr="007848D0">
              <w:rPr>
                <w:lang w:val="en-US"/>
              </w:rPr>
              <w:t xml:space="preserve">In case of failure to settle the dispute through negotiations, before initiation of legal action, the dispute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w:t>
            </w:r>
            <w:r w:rsidRPr="007848D0">
              <w:rPr>
                <w:rStyle w:val="a8"/>
                <w:bCs/>
                <w:i w:val="0"/>
                <w:shd w:val="clear" w:color="auto" w:fill="FFFFFF"/>
                <w:lang w:val="en-US"/>
              </w:rPr>
              <w:t>VOLS</w:t>
            </w:r>
            <w:r w:rsidRPr="007848D0">
              <w:rPr>
                <w:shd w:val="clear" w:color="auto" w:fill="FFFFFF"/>
                <w:lang w:val="en-US"/>
              </w:rPr>
              <w:t>-</w:t>
            </w:r>
            <w:r w:rsidRPr="007848D0">
              <w:rPr>
                <w:rStyle w:val="a8"/>
                <w:bCs/>
                <w:i w:val="0"/>
                <w:shd w:val="clear" w:color="auto" w:fill="FFFFFF"/>
                <w:lang w:val="en-US"/>
              </w:rPr>
              <w:t>VL Administrator</w:t>
            </w:r>
            <w:r w:rsidRPr="007848D0">
              <w:rPr>
                <w:rStyle w:val="apple-converted-space"/>
                <w:shd w:val="clear" w:color="auto" w:fill="FFFFFF"/>
                <w:lang w:val="en-US"/>
              </w:rPr>
              <w:t> </w:t>
            </w:r>
            <w:r w:rsidRPr="007848D0">
              <w:rPr>
                <w:shd w:val="clear" w:color="auto" w:fill="FFFFFF"/>
                <w:lang w:val="en-US"/>
              </w:rPr>
              <w:t>JSC (Fiber-Optic Communication Line – power lines)</w:t>
            </w:r>
            <w:r w:rsidRPr="007848D0">
              <w:rPr>
                <w:lang w:val="en-US"/>
              </w:rPr>
              <w:t xml:space="preserve"> on29.12.2015 (minutes of meeting No.203) and the decision of the Board of Directors of Kubanenergo PJSC  on 23.12.2015 (minutes of meeting  No.227/2015 dated 25.12.2015).</w:t>
            </w:r>
          </w:p>
          <w:p w:rsidR="004708F7" w:rsidRPr="007848D0" w:rsidRDefault="004708F7" w:rsidP="007848D0">
            <w:pPr>
              <w:jc w:val="both"/>
              <w:rPr>
                <w:lang w:val="en-US"/>
              </w:rPr>
            </w:pPr>
            <w:r w:rsidRPr="007848D0">
              <w:rPr>
                <w:lang w:val="en-US"/>
              </w:rPr>
              <w:t>If the parties fail to reach an agreement on the settlement of the dispute through mediation, it shall be settled by the Arbitration Court of the Russian Union of Industrialists and Entrepreneurs (RSPP Arbitration Court) (located in Moscow) in accordance with its rules in effect as of the date of filing a claim. Decisions of the Court of Arbitration at the RSPP are binding, final and are not subject to appeal.</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b/>
                <w:sz w:val="24"/>
                <w:szCs w:val="24"/>
                <w:lang w:val="en-US"/>
              </w:rPr>
            </w:pPr>
            <w:r w:rsidRPr="007848D0">
              <w:rPr>
                <w:rFonts w:ascii="Times New Roman" w:hAnsi="Times New Roman" w:cs="Times New Roman"/>
                <w:b/>
                <w:sz w:val="24"/>
                <w:szCs w:val="24"/>
                <w:lang w:val="en-US"/>
              </w:rPr>
              <w:lastRenderedPageBreak/>
              <w:t>Disclosure of insider information on item No. 9 “</w:t>
            </w:r>
            <w:r w:rsidR="00F9332D" w:rsidRPr="007848D0">
              <w:rPr>
                <w:rFonts w:ascii="Times New Roman" w:hAnsi="Times New Roman" w:cs="Times New Roman"/>
                <w:b/>
                <w:sz w:val="24"/>
                <w:szCs w:val="24"/>
                <w:lang w:val="en-US"/>
              </w:rPr>
              <w:t>On approval of the agreement on debt restructuring for the work performed under the contract from 30.12.2013 No.1391-002302/407/30-2560 between “Kubanenergo” PJSC and “IDGC of Volga” PJSC, as an interested party transaction</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CC70B1">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2.2.9  Decision adopted by issuer’s Board of Directors:</w:t>
            </w:r>
          </w:p>
          <w:p w:rsidR="00F02EA1" w:rsidRPr="007848D0" w:rsidRDefault="00F02EA1" w:rsidP="00CC70B1">
            <w:pPr>
              <w:jc w:val="both"/>
              <w:rPr>
                <w:lang w:val="en-US"/>
              </w:rPr>
            </w:pPr>
            <w:r w:rsidRPr="007848D0">
              <w:rPr>
                <w:lang w:val="en-US"/>
              </w:rPr>
              <w:t xml:space="preserve">1. To determine price of the agreement on debt restructuring for work performed under the contract #1391-002302/407/30-2560 dated 30.12.2013 between Kubanenergo PJSC and IDGC of Volga PJSC, as </w:t>
            </w:r>
            <w:r w:rsidR="00854732" w:rsidRPr="007848D0">
              <w:rPr>
                <w:lang w:val="en-US"/>
              </w:rPr>
              <w:t xml:space="preserve">an </w:t>
            </w:r>
            <w:r w:rsidRPr="007848D0">
              <w:rPr>
                <w:lang w:val="en-US"/>
              </w:rPr>
              <w:t>interested party transaction, which amount is 87 784 708 (eighty seven million seven hundred and eighty four thousand seven hundred and eight) rubles 41 kopecks, including VAT of 18%, including:</w:t>
            </w:r>
          </w:p>
          <w:p w:rsidR="00F02EA1" w:rsidRPr="007848D0" w:rsidRDefault="00F02EA1" w:rsidP="00CC70B1">
            <w:pPr>
              <w:jc w:val="both"/>
              <w:rPr>
                <w:lang w:val="en-US"/>
              </w:rPr>
            </w:pPr>
            <w:r w:rsidRPr="007848D0">
              <w:rPr>
                <w:lang w:val="en-US"/>
              </w:rPr>
              <w:t>- 85 428 975 (eighty five million four hundred and twenty eight thousand nine hundred seventy five) rubles 16 kopecks – the amount owed under the contract #1391-002302/407/30-2560 dated 30.12.2013;</w:t>
            </w:r>
          </w:p>
          <w:p w:rsidR="00F02EA1" w:rsidRPr="007848D0" w:rsidRDefault="00F02EA1" w:rsidP="00CC70B1">
            <w:pPr>
              <w:jc w:val="both"/>
              <w:rPr>
                <w:lang w:val="en-US"/>
              </w:rPr>
            </w:pPr>
            <w:r w:rsidRPr="007848D0">
              <w:rPr>
                <w:lang w:val="en-US"/>
              </w:rPr>
              <w:t>- 2 355 733 (two million three hundred and fifty five thousand seven hundred thirty three) rubles 25 kopecks – the amount of interest for use of funds for the period from 09.01.2015 to 31.12.2015, which accrued on the amount payable under the contract.</w:t>
            </w:r>
          </w:p>
          <w:p w:rsidR="00854732" w:rsidRPr="007848D0" w:rsidRDefault="00854732" w:rsidP="00CC70B1">
            <w:pPr>
              <w:jc w:val="both"/>
              <w:rPr>
                <w:lang w:val="en-US"/>
              </w:rPr>
            </w:pPr>
            <w:r w:rsidRPr="007848D0">
              <w:rPr>
                <w:lang w:val="en-US"/>
              </w:rPr>
              <w:t>2. To approve the agreement on debt restructuring for work performed under the contract #1391-002302/407/30-2560 dated 30.12.2013 between Kubanenergo PJSC and IDGC of Volga PJSC (hereinafter the Agreement) as an interested party transaction on the following conditions:</w:t>
            </w:r>
          </w:p>
          <w:p w:rsidR="00854732" w:rsidRPr="007848D0" w:rsidRDefault="00854732" w:rsidP="00CC70B1">
            <w:pPr>
              <w:jc w:val="both"/>
              <w:rPr>
                <w:b/>
                <w:lang w:val="en-US"/>
              </w:rPr>
            </w:pPr>
            <w:r w:rsidRPr="007848D0">
              <w:rPr>
                <w:b/>
                <w:lang w:val="en-US"/>
              </w:rPr>
              <w:t>Parties to the agreement:</w:t>
            </w:r>
          </w:p>
          <w:p w:rsidR="00854732" w:rsidRPr="007848D0" w:rsidRDefault="00854732" w:rsidP="00CC70B1">
            <w:pPr>
              <w:jc w:val="both"/>
              <w:rPr>
                <w:lang w:val="en-US"/>
              </w:rPr>
            </w:pPr>
            <w:r w:rsidRPr="007848D0">
              <w:rPr>
                <w:lang w:val="en-US"/>
              </w:rPr>
              <w:t xml:space="preserve">Kubanenergo PJSC </w:t>
            </w:r>
          </w:p>
          <w:p w:rsidR="00854732" w:rsidRPr="007848D0" w:rsidRDefault="00854732" w:rsidP="00CC70B1">
            <w:pPr>
              <w:jc w:val="both"/>
              <w:rPr>
                <w:lang w:val="en-US"/>
              </w:rPr>
            </w:pPr>
            <w:r w:rsidRPr="007848D0">
              <w:rPr>
                <w:lang w:val="en-US"/>
              </w:rPr>
              <w:t>IDGC of Volga PJSC</w:t>
            </w:r>
          </w:p>
          <w:p w:rsidR="00615A0C" w:rsidRPr="007848D0" w:rsidRDefault="00615A0C" w:rsidP="00CC70B1">
            <w:pPr>
              <w:jc w:val="both"/>
              <w:rPr>
                <w:lang w:val="en-US"/>
              </w:rPr>
            </w:pPr>
            <w:r w:rsidRPr="007848D0">
              <w:rPr>
                <w:b/>
                <w:lang w:val="en-US"/>
              </w:rPr>
              <w:t>Subject of the Agreement:</w:t>
            </w:r>
            <w:r w:rsidRPr="007848D0">
              <w:rPr>
                <w:lang w:val="en-US"/>
              </w:rPr>
              <w:t xml:space="preserve"> IDGC of Volga PJSC performed works and rendered services under the contract #1391-002302/407/30-2560 from 30.12.2013 on the fulfillment of technical, operational maintenance and repair of the facilities of Kubanenergo PJSC  branch –  Sochi electrical networks (hereinafter the Agreement) in the total amount of 85 428 975 (eighty five million four hundred and twenty eight thousand nine hundred seventy five) rubles 16 kopecks, including VAT 18% –  13 031 538 (thirteen million thirty one thousand five hundred thirty eight) rubles 58 kopecks.</w:t>
            </w:r>
          </w:p>
          <w:p w:rsidR="00615A0C" w:rsidRPr="007848D0" w:rsidRDefault="00615A0C" w:rsidP="00CC70B1">
            <w:pPr>
              <w:jc w:val="both"/>
              <w:rPr>
                <w:lang w:val="en-US"/>
              </w:rPr>
            </w:pPr>
            <w:r w:rsidRPr="007848D0">
              <w:rPr>
                <w:lang w:val="en-US"/>
              </w:rPr>
              <w:t>Kubanenergo PJSC admits that the works and services under the contract #1391-002302/407/30-2560 have been fully implemented by IDGC of Volga PJSC and are payable by Kubanenergo PJSC in favor of IDGC of Volga PJSC in full volume in the amount specified in clause 1.1 of the Agreement.</w:t>
            </w:r>
          </w:p>
          <w:p w:rsidR="00615A0C" w:rsidRPr="007848D0" w:rsidRDefault="00615A0C" w:rsidP="00CC70B1">
            <w:pPr>
              <w:jc w:val="both"/>
              <w:rPr>
                <w:lang w:val="en-US"/>
              </w:rPr>
            </w:pPr>
            <w:r w:rsidRPr="007848D0">
              <w:rPr>
                <w:lang w:val="en-US"/>
              </w:rPr>
              <w:t>Debt restructuring is carried out through the provision for Kubanenergo PJSC possibility to pay by installments.</w:t>
            </w:r>
          </w:p>
          <w:p w:rsidR="00CC70B1" w:rsidRPr="007848D0" w:rsidRDefault="00BF3AA2" w:rsidP="00CC70B1">
            <w:pPr>
              <w:jc w:val="both"/>
              <w:rPr>
                <w:lang w:val="en-US"/>
              </w:rPr>
            </w:pPr>
            <w:r w:rsidRPr="007848D0">
              <w:rPr>
                <w:lang w:val="en-US"/>
              </w:rPr>
              <w:t>The procedure of payment by installments: IDGC of Volga PJSC provides for Kubanenergo PJSC installment plan to pay the debt from May 2016 to December 2017.</w:t>
            </w:r>
          </w:p>
          <w:p w:rsidR="00CC70B1" w:rsidRPr="007848D0" w:rsidRDefault="00CC70B1" w:rsidP="00CC70B1">
            <w:pPr>
              <w:jc w:val="both"/>
              <w:rPr>
                <w:lang w:val="en-US"/>
              </w:rPr>
            </w:pPr>
            <w:r w:rsidRPr="007848D0">
              <w:rPr>
                <w:lang w:val="en-US"/>
              </w:rPr>
              <w:t>Kubanenergo PJSC undertakes to repay the debt in the amount specified in paragraph 1.1 below, as well as interest on the installment repayment in the amount specified in paragraph 2.2 of the Agreement, in accordance with the schedule of payments specified in clause 2.3 of the Agreement.</w:t>
            </w:r>
          </w:p>
          <w:p w:rsidR="00F9332D" w:rsidRPr="007848D0" w:rsidRDefault="00CC70B1" w:rsidP="00CC70B1">
            <w:pPr>
              <w:widowControl w:val="0"/>
              <w:adjustRightInd w:val="0"/>
              <w:spacing w:line="59" w:lineRule="exact"/>
              <w:rPr>
                <w:lang w:val="en-US"/>
              </w:rPr>
            </w:pPr>
            <w:r w:rsidRPr="007848D0">
              <w:rPr>
                <w:lang w:val="en-US"/>
              </w:rPr>
              <w:t xml:space="preserve"> </w:t>
            </w:r>
          </w:p>
          <w:p w:rsidR="00CC70B1" w:rsidRPr="007848D0" w:rsidRDefault="00CC70B1" w:rsidP="00CC70B1">
            <w:pPr>
              <w:jc w:val="both"/>
              <w:rPr>
                <w:lang w:val="en-US"/>
              </w:rPr>
            </w:pPr>
            <w:r w:rsidRPr="007848D0">
              <w:rPr>
                <w:lang w:val="en-US"/>
              </w:rPr>
              <w:t>Kubanenergo PJSC has the right to prepay the debt provided for in paragraph 1.1 of the Agreement or the rest of the debt referred to in paragraph 2.3 of the Agreement.</w:t>
            </w:r>
          </w:p>
          <w:p w:rsidR="00CC70B1" w:rsidRPr="007848D0" w:rsidRDefault="00CC70B1" w:rsidP="00DB7971">
            <w:pPr>
              <w:jc w:val="both"/>
              <w:rPr>
                <w:lang w:val="en-US"/>
              </w:rPr>
            </w:pPr>
            <w:r w:rsidRPr="007848D0">
              <w:rPr>
                <w:lang w:val="en-US"/>
              </w:rPr>
              <w:t>Principal amount: 85 428 975 (eighty five million four hundred and twenty eight thousand nine hundred seventy five) rubles 16 kopecks, including VAT 18% - 13 031 538 (thirteen million thirty one thousand five hundred thirty eight) rubles 58 kopecks.</w:t>
            </w:r>
          </w:p>
          <w:p w:rsidR="00DB7971" w:rsidRPr="007848D0" w:rsidRDefault="00DB7971" w:rsidP="00DB7971">
            <w:pPr>
              <w:jc w:val="both"/>
              <w:rPr>
                <w:lang w:val="en-US"/>
              </w:rPr>
            </w:pPr>
            <w:r w:rsidRPr="007848D0">
              <w:rPr>
                <w:lang w:val="en-US"/>
              </w:rPr>
              <w:t>Interest accrued for the use of funds: The parties have agreed that, in accordance with paragraph 6.2 of the Agreement #1391-002302/407/30-2560 from of 30.12.2013 and Article 395 of the Civil Code of the Russian Federation, Kubanenergo PJSC pays to IDGC of Volga PJSC interest on the borrowed funds during the period from 09.01.2015 to 31.12.2015, which shall be payable at the rate of 8.25% per annum (CBR refinancing rate) from the sum of debt 85 428 975.16 rubles, which is 2 355 733.25 rubles.</w:t>
            </w:r>
          </w:p>
          <w:p w:rsidR="00DB7971" w:rsidRPr="007848D0" w:rsidRDefault="00DB7971" w:rsidP="00DB7971">
            <w:pPr>
              <w:jc w:val="both"/>
              <w:rPr>
                <w:lang w:val="en-US"/>
              </w:rPr>
            </w:pPr>
          </w:p>
          <w:p w:rsidR="004A36F0" w:rsidRPr="007848D0" w:rsidRDefault="00DB7971" w:rsidP="00DB7971">
            <w:pPr>
              <w:jc w:val="both"/>
              <w:rPr>
                <w:lang w:val="en-US"/>
              </w:rPr>
            </w:pPr>
            <w:r w:rsidRPr="007848D0">
              <w:rPr>
                <w:b/>
                <w:lang w:val="en-US"/>
              </w:rPr>
              <w:lastRenderedPageBreak/>
              <w:t>Term of the Agreement:</w:t>
            </w:r>
            <w:r w:rsidRPr="007848D0">
              <w:rPr>
                <w:lang w:val="en-US"/>
              </w:rPr>
              <w:t xml:space="preserve"> The Agreement shall enter into force upon its </w:t>
            </w:r>
            <w:r w:rsidRPr="007848D0">
              <w:rPr>
                <w:lang w:val="en-US"/>
              </w:rPr>
              <w:t>signature</w:t>
            </w:r>
            <w:r w:rsidRPr="007848D0">
              <w:rPr>
                <w:lang w:val="en-US"/>
              </w:rPr>
              <w:t xml:space="preserve"> and is valid until complete fulfillment of all obligations.</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F9332D">
            <w:pPr>
              <w:pStyle w:val="a5"/>
              <w:jc w:val="both"/>
              <w:rPr>
                <w:rFonts w:ascii="Times New Roman" w:hAnsi="Times New Roman" w:cs="Times New Roman"/>
                <w:b/>
                <w:sz w:val="24"/>
                <w:szCs w:val="24"/>
                <w:lang w:val="en-US"/>
              </w:rPr>
            </w:pPr>
            <w:r w:rsidRPr="007848D0">
              <w:rPr>
                <w:rFonts w:ascii="Times New Roman" w:hAnsi="Times New Roman" w:cs="Times New Roman"/>
                <w:b/>
                <w:sz w:val="24"/>
                <w:szCs w:val="24"/>
                <w:lang w:val="en-US"/>
              </w:rPr>
              <w:lastRenderedPageBreak/>
              <w:t>Disclosure of insider information on item No.10 “</w:t>
            </w:r>
            <w:r w:rsidR="00F9332D" w:rsidRPr="007848D0">
              <w:rPr>
                <w:rFonts w:ascii="Times New Roman" w:hAnsi="Times New Roman" w:cs="Times New Roman"/>
                <w:b/>
                <w:sz w:val="24"/>
                <w:szCs w:val="24"/>
                <w:lang w:val="en-US"/>
              </w:rPr>
              <w:t>On approval of the contract for the provision of recreation for Kubanenergo employees between “Kubanenergo” PJSC and “Recreation centre “Energetik” JSC as an interested party transaction</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373D94" w:rsidRPr="007848D0" w:rsidRDefault="00373D94" w:rsidP="00303478">
            <w:pPr>
              <w:pStyle w:val="a7"/>
              <w:numPr>
                <w:ilvl w:val="0"/>
                <w:numId w:val="5"/>
              </w:numPr>
              <w:tabs>
                <w:tab w:val="left" w:pos="311"/>
              </w:tabs>
              <w:ind w:left="34" w:hanging="34"/>
              <w:jc w:val="both"/>
              <w:rPr>
                <w:lang w:val="en-US"/>
              </w:rPr>
            </w:pPr>
            <w:r w:rsidRPr="007848D0">
              <w:rPr>
                <w:lang w:val="en-US"/>
              </w:rPr>
              <w:t>1. To determine the price of the contract for the provision of wellness and recreation for the employees of Kubanenergo PJSC between Kubanenergo PJSC SC and “Recreation centre “Energetik” JSC as an interested party transaction, the amount of which is 11 156 000 (eleven million one hundred fifty six thousand) rubles, 00 kopecks, not subject to VAT (paragraph 18 3 of Article 149 of the Tax Code).</w:t>
            </w:r>
          </w:p>
          <w:p w:rsidR="00303478" w:rsidRPr="007848D0" w:rsidRDefault="00303478" w:rsidP="00303478">
            <w:pPr>
              <w:jc w:val="both"/>
              <w:rPr>
                <w:lang w:val="en-US"/>
              </w:rPr>
            </w:pPr>
            <w:r w:rsidRPr="007848D0">
              <w:rPr>
                <w:lang w:val="en-US"/>
              </w:rPr>
              <w:t>2. To approve the contract for the provision of wellness and recreation for the employees of Kubanenergo PJSC between Kubanenergo PJSC SC and “Recreation centre “Energetik” JSC as an interested party transaction on the following terms:</w:t>
            </w:r>
          </w:p>
          <w:p w:rsidR="00303478" w:rsidRPr="007848D0" w:rsidRDefault="00303478" w:rsidP="00303478">
            <w:pPr>
              <w:jc w:val="both"/>
              <w:rPr>
                <w:b/>
                <w:lang w:val="en-US"/>
              </w:rPr>
            </w:pPr>
            <w:r w:rsidRPr="007848D0">
              <w:rPr>
                <w:b/>
                <w:lang w:val="en-US"/>
              </w:rPr>
              <w:t>Parties to the Contract:</w:t>
            </w:r>
          </w:p>
          <w:p w:rsidR="00303478" w:rsidRPr="007848D0" w:rsidRDefault="00303478" w:rsidP="00303478">
            <w:pPr>
              <w:jc w:val="both"/>
              <w:rPr>
                <w:lang w:val="en-US"/>
              </w:rPr>
            </w:pPr>
            <w:r w:rsidRPr="007848D0">
              <w:rPr>
                <w:lang w:val="en-US"/>
              </w:rPr>
              <w:t xml:space="preserve">Customer: Kubanenergo PJSC </w:t>
            </w:r>
          </w:p>
          <w:p w:rsidR="00303478" w:rsidRPr="007848D0" w:rsidRDefault="00303478" w:rsidP="00303478">
            <w:pPr>
              <w:jc w:val="both"/>
              <w:rPr>
                <w:lang w:val="en-US"/>
              </w:rPr>
            </w:pPr>
            <w:r w:rsidRPr="007848D0">
              <w:rPr>
                <w:lang w:val="en-US"/>
              </w:rPr>
              <w:t>Contractor: “Recreation centre “Energetik” JSC</w:t>
            </w:r>
          </w:p>
          <w:p w:rsidR="00373D94" w:rsidRPr="007848D0" w:rsidRDefault="00303478" w:rsidP="00303478">
            <w:pPr>
              <w:widowControl w:val="0"/>
              <w:overflowPunct w:val="0"/>
              <w:adjustRightInd w:val="0"/>
              <w:spacing w:line="228" w:lineRule="auto"/>
              <w:ind w:right="120"/>
              <w:jc w:val="both"/>
              <w:rPr>
                <w:lang w:val="en-US"/>
              </w:rPr>
            </w:pPr>
            <w:r w:rsidRPr="007848D0">
              <w:rPr>
                <w:b/>
                <w:lang w:val="en-US"/>
              </w:rPr>
              <w:t>Subject</w:t>
            </w:r>
            <w:r w:rsidRPr="007848D0">
              <w:rPr>
                <w:lang w:val="en-US"/>
              </w:rPr>
              <w:t xml:space="preserve"> </w:t>
            </w:r>
            <w:r w:rsidRPr="007848D0">
              <w:rPr>
                <w:b/>
                <w:lang w:val="en-US"/>
              </w:rPr>
              <w:t>of</w:t>
            </w:r>
            <w:r w:rsidRPr="007848D0">
              <w:rPr>
                <w:lang w:val="en-US"/>
              </w:rPr>
              <w:t xml:space="preserve"> </w:t>
            </w:r>
            <w:r w:rsidRPr="007848D0">
              <w:rPr>
                <w:b/>
                <w:lang w:val="en-US"/>
              </w:rPr>
              <w:t>the Contract</w:t>
            </w:r>
            <w:r w:rsidRPr="007848D0">
              <w:rPr>
                <w:lang w:val="en-US"/>
              </w:rPr>
              <w:t>:</w:t>
            </w:r>
          </w:p>
          <w:p w:rsidR="00303478" w:rsidRPr="007848D0" w:rsidRDefault="00303478" w:rsidP="00303478">
            <w:pPr>
              <w:jc w:val="both"/>
              <w:rPr>
                <w:lang w:val="en-US"/>
              </w:rPr>
            </w:pPr>
            <w:r w:rsidRPr="007848D0">
              <w:rPr>
                <w:lang w:val="en-US"/>
              </w:rPr>
              <w:t>The Contractor, in accordance with the Customer’s task, agrees on the conditions defined by the contract, to provide customer services, recreation and wellness for  employees, their families and retirees of Kubanenergo PJSC (hereinafter - the Services), and the Customer shall pay the Contractor for the Services .</w:t>
            </w:r>
          </w:p>
          <w:p w:rsidR="007848D0" w:rsidRPr="007848D0" w:rsidRDefault="007848D0" w:rsidP="007848D0">
            <w:pPr>
              <w:rPr>
                <w:lang w:val="en-US"/>
              </w:rPr>
            </w:pPr>
            <w:r w:rsidRPr="007848D0">
              <w:rPr>
                <w:lang w:val="en-US"/>
              </w:rPr>
              <w:t>The basis for the Services is a voucher that is made available to the Customer and the Contractor.</w:t>
            </w:r>
          </w:p>
          <w:p w:rsidR="007848D0" w:rsidRPr="007848D0" w:rsidRDefault="007848D0" w:rsidP="007848D0">
            <w:pPr>
              <w:rPr>
                <w:b/>
                <w:lang w:val="en-US"/>
              </w:rPr>
            </w:pPr>
            <w:r w:rsidRPr="007848D0">
              <w:rPr>
                <w:b/>
                <w:lang w:val="en-US"/>
              </w:rPr>
              <w:t>Price of the Contract:</w:t>
            </w:r>
          </w:p>
          <w:p w:rsidR="007848D0" w:rsidRPr="007848D0" w:rsidRDefault="007848D0" w:rsidP="007848D0">
            <w:pPr>
              <w:rPr>
                <w:lang w:val="en-US"/>
              </w:rPr>
            </w:pPr>
            <w:r w:rsidRPr="007848D0">
              <w:rPr>
                <w:lang w:val="en-US"/>
              </w:rPr>
              <w:t>11 156 000 (eleven million one hundred fifty six thousand) rubles, 00 kopecks, not subject to VAT (paragraph 18 3 of Article 149 of the Tax Code).</w:t>
            </w:r>
          </w:p>
          <w:p w:rsidR="007848D0" w:rsidRPr="007848D0" w:rsidRDefault="007848D0" w:rsidP="007848D0">
            <w:pPr>
              <w:rPr>
                <w:b/>
                <w:lang w:val="en-US"/>
              </w:rPr>
            </w:pPr>
            <w:r w:rsidRPr="007848D0">
              <w:rPr>
                <w:b/>
                <w:lang w:val="en-US"/>
              </w:rPr>
              <w:t>Contract time:</w:t>
            </w:r>
          </w:p>
          <w:p w:rsidR="007848D0" w:rsidRPr="007848D0" w:rsidRDefault="007848D0" w:rsidP="007848D0">
            <w:pPr>
              <w:rPr>
                <w:lang w:val="en-US"/>
              </w:rPr>
            </w:pPr>
            <w:r w:rsidRPr="007848D0">
              <w:rPr>
                <w:lang w:val="en-US"/>
              </w:rPr>
              <w:t>The Contract</w:t>
            </w:r>
            <w:r w:rsidRPr="007848D0">
              <w:rPr>
                <w:b/>
                <w:lang w:val="en-US"/>
              </w:rPr>
              <w:t xml:space="preserve"> </w:t>
            </w:r>
            <w:r w:rsidRPr="007848D0">
              <w:rPr>
                <w:lang w:val="en-US"/>
              </w:rPr>
              <w:t>shall enter into force upon signature and is valid until 31.12.2016 or until the Parties fulfill their obligations under the contract.</w:t>
            </w:r>
          </w:p>
          <w:p w:rsidR="007848D0" w:rsidRPr="007848D0" w:rsidRDefault="007848D0" w:rsidP="007848D0">
            <w:pPr>
              <w:rPr>
                <w:lang w:val="en-US"/>
              </w:rPr>
            </w:pPr>
            <w:r w:rsidRPr="007848D0">
              <w:rPr>
                <w:lang w:val="en-US"/>
              </w:rPr>
              <w:t>Term of rendering services: 05.10.2016 – 31.12.2016.</w:t>
            </w:r>
          </w:p>
          <w:p w:rsidR="007848D0" w:rsidRPr="007848D0" w:rsidRDefault="007848D0" w:rsidP="007848D0">
            <w:pPr>
              <w:jc w:val="both"/>
              <w:rPr>
                <w:b/>
                <w:lang w:val="en-US"/>
              </w:rPr>
            </w:pPr>
            <w:r w:rsidRPr="007848D0">
              <w:rPr>
                <w:b/>
                <w:lang w:val="en-US"/>
              </w:rPr>
              <w:t>Settlement of disputes:</w:t>
            </w:r>
          </w:p>
          <w:p w:rsidR="007848D0" w:rsidRPr="007848D0" w:rsidRDefault="007848D0" w:rsidP="007848D0">
            <w:pPr>
              <w:jc w:val="both"/>
              <w:rPr>
                <w:lang w:val="en-US"/>
              </w:rPr>
            </w:pPr>
            <w:r w:rsidRPr="007848D0">
              <w:rPr>
                <w:lang w:val="en-US"/>
              </w:rPr>
              <w:t>All disputes arising from the contract or in connection with it shall be settled in accordance with current legislation. Complaint procedure is obligatory. The term of consideration of claims is 10 calendar days after the receipt of the claim.</w:t>
            </w:r>
          </w:p>
          <w:p w:rsidR="007848D0" w:rsidRPr="007848D0" w:rsidRDefault="007848D0" w:rsidP="007848D0">
            <w:pPr>
              <w:jc w:val="both"/>
              <w:rPr>
                <w:lang w:val="en-US"/>
              </w:rPr>
            </w:pPr>
            <w:r w:rsidRPr="007848D0">
              <w:rPr>
                <w:lang w:val="en-US"/>
              </w:rPr>
              <w:t>All disputes, disagreements and claims arising from the contract (agreement) or in connection with it, including those related to its conclusion, efficacy, change, implementation, infringement, cancellation, termination and validity are to be settled through negotiations.</w:t>
            </w:r>
          </w:p>
          <w:p w:rsidR="007848D0" w:rsidRPr="007848D0" w:rsidRDefault="007848D0" w:rsidP="007848D0">
            <w:pPr>
              <w:jc w:val="both"/>
              <w:rPr>
                <w:lang w:val="en-US"/>
              </w:rPr>
            </w:pPr>
            <w:r w:rsidRPr="007848D0">
              <w:rPr>
                <w:lang w:val="en-US"/>
              </w:rPr>
              <w:t>In case of failure to settle the dispute through negotiations, before applying to court, he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12.23.2015 (minutes of meeting No.227/2015 dated 25.12.2015).</w:t>
            </w:r>
          </w:p>
          <w:p w:rsidR="007848D0" w:rsidRPr="007848D0" w:rsidRDefault="007848D0" w:rsidP="007848D0">
            <w:pPr>
              <w:jc w:val="both"/>
              <w:rPr>
                <w:lang w:val="en-US"/>
              </w:rPr>
            </w:pPr>
            <w:r w:rsidRPr="007848D0">
              <w:rPr>
                <w:lang w:val="en-US"/>
              </w:rPr>
              <w:t>If the parties fail to reach an agreement on the settlement of the dispute through mediation, it shall be settled by the Arbitration Court of the Russian Union of Industrialists and Entrepreneurs (RSPP Arbitration Court) (location - Moscow) in accordance with its rules in effect as of the date of filing a claim.</w:t>
            </w:r>
          </w:p>
          <w:p w:rsidR="004A36F0" w:rsidRPr="007848D0" w:rsidRDefault="007848D0" w:rsidP="007848D0">
            <w:pPr>
              <w:jc w:val="both"/>
              <w:rPr>
                <w:lang w:val="en-US"/>
              </w:rPr>
            </w:pPr>
            <w:r w:rsidRPr="007848D0">
              <w:rPr>
                <w:lang w:val="en-US"/>
              </w:rPr>
              <w:t>Decisions of the Court of Arbitration at the RSPP are binding, final and not subject to appeal.</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b/>
                <w:sz w:val="24"/>
                <w:szCs w:val="24"/>
                <w:lang w:val="en-US"/>
              </w:rPr>
            </w:pPr>
            <w:r w:rsidRPr="007848D0">
              <w:rPr>
                <w:rFonts w:ascii="Times New Roman" w:hAnsi="Times New Roman" w:cs="Times New Roman"/>
                <w:b/>
                <w:sz w:val="24"/>
                <w:szCs w:val="24"/>
                <w:lang w:val="en-US"/>
              </w:rPr>
              <w:t>Disclosure of insider information on item No.11 “</w:t>
            </w:r>
            <w:r w:rsidR="00A92A78" w:rsidRPr="007848D0">
              <w:rPr>
                <w:rFonts w:ascii="Times New Roman" w:hAnsi="Times New Roman" w:cs="Times New Roman"/>
                <w:b/>
                <w:sz w:val="24"/>
                <w:szCs w:val="24"/>
                <w:lang w:val="en-US"/>
              </w:rPr>
              <w:t>On approval of restated Regulations on investment activity of “Kubanenergo” PJSC</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2.2.11  Decision adopted by issuer’s Board of Directors:</w:t>
            </w:r>
          </w:p>
          <w:p w:rsidR="004A36F0" w:rsidRPr="007848D0" w:rsidRDefault="00A92A78" w:rsidP="00A92A78">
            <w:pPr>
              <w:tabs>
                <w:tab w:val="left" w:pos="0"/>
                <w:tab w:val="left" w:pos="34"/>
                <w:tab w:val="left" w:pos="202"/>
                <w:tab w:val="left" w:pos="397"/>
              </w:tabs>
              <w:adjustRightInd w:val="0"/>
              <w:jc w:val="both"/>
              <w:outlineLvl w:val="3"/>
              <w:rPr>
                <w:lang w:val="en-US"/>
              </w:rPr>
            </w:pPr>
            <w:r w:rsidRPr="007848D0">
              <w:rPr>
                <w:lang w:val="en-US" w:eastAsia="en-US"/>
              </w:rPr>
              <w:t xml:space="preserve">1. To approve the restated Regulations on investment activity of “Kubanenergo” PJSC, </w:t>
            </w:r>
            <w:r w:rsidRPr="007848D0">
              <w:rPr>
                <w:lang w:val="en"/>
              </w:rPr>
              <w:t xml:space="preserve">in accordance with Annex 6 to </w:t>
            </w:r>
            <w:r w:rsidRPr="007848D0">
              <w:rPr>
                <w:lang w:val="en-US"/>
              </w:rPr>
              <w:t>the resolution of the BoD.</w:t>
            </w:r>
          </w:p>
          <w:p w:rsidR="00A92A78" w:rsidRPr="007848D0" w:rsidRDefault="00A92A78" w:rsidP="00A92A78">
            <w:pPr>
              <w:tabs>
                <w:tab w:val="left" w:pos="0"/>
                <w:tab w:val="left" w:pos="34"/>
                <w:tab w:val="left" w:pos="202"/>
                <w:tab w:val="left" w:pos="397"/>
              </w:tabs>
              <w:adjustRightInd w:val="0"/>
              <w:jc w:val="both"/>
              <w:outlineLvl w:val="3"/>
              <w:rPr>
                <w:lang w:val="en-US" w:eastAsia="en-US"/>
              </w:rPr>
            </w:pPr>
            <w:r w:rsidRPr="007848D0">
              <w:rPr>
                <w:lang w:val="en-US"/>
              </w:rPr>
              <w:t xml:space="preserve">2. To consider as invalid </w:t>
            </w:r>
            <w:r w:rsidRPr="007848D0">
              <w:rPr>
                <w:lang w:val="en-US" w:eastAsia="en-US"/>
              </w:rPr>
              <w:t xml:space="preserve">Regulations on investment activity of “Kubanenergo” PJSC approved by </w:t>
            </w:r>
            <w:r w:rsidRPr="007848D0">
              <w:rPr>
                <w:lang w:val="en-US" w:eastAsia="en-US"/>
              </w:rPr>
              <w:lastRenderedPageBreak/>
              <w:t xml:space="preserve">the BoD on 14.11.2014 (minutes of meeting No.199/2014 </w:t>
            </w:r>
            <w:proofErr w:type="spellStart"/>
            <w:r w:rsidRPr="007848D0">
              <w:rPr>
                <w:lang w:val="en-US" w:eastAsia="en-US"/>
              </w:rPr>
              <w:t>dd</w:t>
            </w:r>
            <w:proofErr w:type="spellEnd"/>
            <w:r w:rsidRPr="007848D0">
              <w:rPr>
                <w:lang w:val="en-US" w:eastAsia="en-US"/>
              </w:rPr>
              <w:t xml:space="preserve"> 17.11.2014).</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B80E08">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lastRenderedPageBreak/>
              <w:t>Disclosure of insider information on item No.12 “</w:t>
            </w:r>
            <w:r w:rsidR="00D5466C" w:rsidRPr="007848D0">
              <w:rPr>
                <w:rFonts w:ascii="Times New Roman" w:hAnsi="Times New Roman" w:cs="Times New Roman"/>
                <w:b/>
                <w:sz w:val="24"/>
                <w:szCs w:val="24"/>
                <w:lang w:val="en-US"/>
              </w:rPr>
              <w:t>On approval of restated Rules of forming, adjustment of the investment programme and reporting on its performance in “Kubanenergo” PJSC</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2.2.12  Decision adopted by issuer’s Board of Directors:</w:t>
            </w:r>
          </w:p>
          <w:p w:rsidR="00D5466C" w:rsidRPr="007848D0" w:rsidRDefault="00D5466C" w:rsidP="00D5466C">
            <w:pPr>
              <w:tabs>
                <w:tab w:val="left" w:pos="0"/>
                <w:tab w:val="left" w:pos="34"/>
                <w:tab w:val="left" w:pos="202"/>
                <w:tab w:val="left" w:pos="397"/>
              </w:tabs>
              <w:adjustRightInd w:val="0"/>
              <w:jc w:val="both"/>
              <w:outlineLvl w:val="3"/>
              <w:rPr>
                <w:lang w:val="en-US"/>
              </w:rPr>
            </w:pPr>
            <w:r w:rsidRPr="007848D0">
              <w:rPr>
                <w:lang w:val="en-US"/>
              </w:rPr>
              <w:t xml:space="preserve">1. To approve the </w:t>
            </w:r>
            <w:r w:rsidRPr="007848D0">
              <w:rPr>
                <w:lang w:val="en-US" w:eastAsia="en-US"/>
              </w:rPr>
              <w:t>restated Rules of forming, adjustment of the investment programme and reporting on its performance in “Kubanenergo” PJS</w:t>
            </w:r>
            <w:r w:rsidRPr="007848D0">
              <w:rPr>
                <w:lang w:val="en-US"/>
              </w:rPr>
              <w:t>C</w:t>
            </w:r>
            <w:r w:rsidRPr="007848D0">
              <w:rPr>
                <w:lang w:val="en-US"/>
              </w:rPr>
              <w:t xml:space="preserve">, </w:t>
            </w:r>
            <w:r w:rsidRPr="007848D0">
              <w:rPr>
                <w:lang w:val="en"/>
              </w:rPr>
              <w:t xml:space="preserve">in accordance with Annex </w:t>
            </w:r>
            <w:r w:rsidRPr="007848D0">
              <w:rPr>
                <w:lang w:val="en"/>
              </w:rPr>
              <w:t>7</w:t>
            </w:r>
            <w:r w:rsidRPr="007848D0">
              <w:rPr>
                <w:lang w:val="en"/>
              </w:rPr>
              <w:t xml:space="preserve"> to </w:t>
            </w:r>
            <w:r w:rsidRPr="007848D0">
              <w:rPr>
                <w:lang w:val="en-US"/>
              </w:rPr>
              <w:t>the resolution of the BoD.</w:t>
            </w:r>
          </w:p>
          <w:p w:rsidR="004A36F0" w:rsidRPr="007848D0" w:rsidRDefault="00D5466C"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2. </w:t>
            </w:r>
            <w:r w:rsidRPr="007848D0">
              <w:rPr>
                <w:rFonts w:ascii="Times New Roman" w:hAnsi="Times New Roman" w:cs="Times New Roman"/>
                <w:sz w:val="24"/>
                <w:szCs w:val="24"/>
                <w:lang w:val="en-US"/>
              </w:rPr>
              <w:t>To consider as invalid</w:t>
            </w:r>
            <w:r w:rsidRPr="007848D0">
              <w:rPr>
                <w:rFonts w:ascii="Times New Roman" w:hAnsi="Times New Roman" w:cs="Times New Roman"/>
                <w:sz w:val="24"/>
                <w:szCs w:val="24"/>
                <w:lang w:val="en-US"/>
              </w:rPr>
              <w:t xml:space="preserve"> </w:t>
            </w:r>
            <w:r w:rsidRPr="007848D0">
              <w:rPr>
                <w:rFonts w:ascii="Times New Roman" w:hAnsi="Times New Roman" w:cs="Times New Roman"/>
                <w:sz w:val="24"/>
                <w:szCs w:val="24"/>
                <w:lang w:val="en-US"/>
              </w:rPr>
              <w:t>Rules of forming, adjustment of the investment programme and reporting on its performance in “Kubanenergo” PJSC</w:t>
            </w:r>
            <w:r w:rsidRPr="007848D0">
              <w:rPr>
                <w:rFonts w:ascii="Times New Roman" w:hAnsi="Times New Roman" w:cs="Times New Roman"/>
                <w:sz w:val="24"/>
                <w:szCs w:val="24"/>
                <w:lang w:val="en-US"/>
              </w:rPr>
              <w:t>, approve by the BoD on 30.12.2011 (minutes of meeting NO.125/2011 dated 12.01.2012)</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B80E08">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t>Disclosure of insider information on item No.13 “</w:t>
            </w:r>
            <w:r w:rsidR="00D5466C" w:rsidRPr="007848D0">
              <w:rPr>
                <w:rFonts w:ascii="Times New Roman" w:hAnsi="Times New Roman" w:cs="Times New Roman"/>
                <w:b/>
                <w:sz w:val="24"/>
                <w:szCs w:val="24"/>
                <w:lang w:val="en-US"/>
              </w:rPr>
              <w:t xml:space="preserve">On discussion of the report of the sole executive body of “Kubanenergo” PJSC on certification of max output </w:t>
            </w:r>
            <w:r w:rsidR="00226FE0" w:rsidRPr="007848D0">
              <w:rPr>
                <w:rFonts w:ascii="Times New Roman" w:hAnsi="Times New Roman" w:cs="Times New Roman"/>
                <w:b/>
                <w:sz w:val="24"/>
                <w:szCs w:val="24"/>
                <w:lang w:val="en-US"/>
              </w:rPr>
              <w:t xml:space="preserve">of </w:t>
            </w:r>
            <w:r w:rsidR="00D5466C" w:rsidRPr="007848D0">
              <w:rPr>
                <w:rFonts w:ascii="Times New Roman" w:hAnsi="Times New Roman" w:cs="Times New Roman"/>
                <w:b/>
                <w:sz w:val="24"/>
                <w:szCs w:val="24"/>
                <w:lang w:val="en-US"/>
              </w:rPr>
              <w:t>consumers</w:t>
            </w:r>
            <w:r w:rsidR="00226FE0" w:rsidRPr="007848D0">
              <w:rPr>
                <w:rFonts w:ascii="Times New Roman" w:hAnsi="Times New Roman" w:cs="Times New Roman"/>
                <w:b/>
                <w:sz w:val="24"/>
                <w:szCs w:val="24"/>
                <w:lang w:val="en-US"/>
              </w:rPr>
              <w:t xml:space="preserve"> of electric energy</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4A36F0" w:rsidRPr="007848D0" w:rsidRDefault="004A36F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2.2.13  Decision adopted by issuer’s Board of Director</w:t>
            </w:r>
            <w:r w:rsidR="00982103" w:rsidRPr="007848D0">
              <w:rPr>
                <w:rFonts w:ascii="Times New Roman" w:hAnsi="Times New Roman" w:cs="Times New Roman"/>
                <w:b/>
                <w:sz w:val="24"/>
                <w:szCs w:val="24"/>
                <w:lang w:val="en-US"/>
              </w:rPr>
              <w:t xml:space="preserve"> </w:t>
            </w:r>
            <w:r w:rsidRPr="007848D0">
              <w:rPr>
                <w:rFonts w:ascii="Times New Roman" w:hAnsi="Times New Roman" w:cs="Times New Roman"/>
                <w:sz w:val="24"/>
                <w:szCs w:val="24"/>
                <w:lang w:val="en-US"/>
              </w:rPr>
              <w:t>:</w:t>
            </w:r>
          </w:p>
          <w:p w:rsidR="00982103" w:rsidRPr="007848D0" w:rsidRDefault="00982103" w:rsidP="00982103">
            <w:pPr>
              <w:tabs>
                <w:tab w:val="left" w:pos="0"/>
                <w:tab w:val="left" w:pos="34"/>
                <w:tab w:val="left" w:pos="202"/>
                <w:tab w:val="left" w:pos="397"/>
              </w:tabs>
              <w:adjustRightInd w:val="0"/>
              <w:jc w:val="both"/>
              <w:outlineLvl w:val="3"/>
              <w:rPr>
                <w:lang w:val="en-US"/>
              </w:rPr>
            </w:pPr>
            <w:r w:rsidRPr="007848D0">
              <w:rPr>
                <w:lang w:val="en-US"/>
              </w:rPr>
              <w:t xml:space="preserve">1. To take into consideration the report of </w:t>
            </w:r>
            <w:r w:rsidRPr="007848D0">
              <w:rPr>
                <w:lang w:val="en-US" w:eastAsia="en-US"/>
              </w:rPr>
              <w:t>the sole executive body of “Kubanenergo” PJSC on certification of max output</w:t>
            </w:r>
            <w:r w:rsidR="00226FE0" w:rsidRPr="007848D0">
              <w:rPr>
                <w:lang w:val="en-US" w:eastAsia="en-US"/>
              </w:rPr>
              <w:t xml:space="preserve"> of </w:t>
            </w:r>
            <w:r w:rsidRPr="007848D0">
              <w:rPr>
                <w:lang w:val="en-US" w:eastAsia="en-US"/>
              </w:rPr>
              <w:t>consumers</w:t>
            </w:r>
            <w:r w:rsidR="00226FE0" w:rsidRPr="007848D0">
              <w:rPr>
                <w:lang w:val="en-US" w:eastAsia="en-US"/>
              </w:rPr>
              <w:t xml:space="preserve"> of electric energy</w:t>
            </w:r>
            <w:r w:rsidRPr="007848D0">
              <w:rPr>
                <w:lang w:val="en-US"/>
              </w:rPr>
              <w:t xml:space="preserve">, </w:t>
            </w:r>
            <w:r w:rsidRPr="007848D0">
              <w:rPr>
                <w:lang w:val="en"/>
              </w:rPr>
              <w:t xml:space="preserve">in accordance with Annex </w:t>
            </w:r>
            <w:r w:rsidRPr="007848D0">
              <w:rPr>
                <w:lang w:val="en"/>
              </w:rPr>
              <w:t>8</w:t>
            </w:r>
            <w:r w:rsidRPr="007848D0">
              <w:rPr>
                <w:lang w:val="en"/>
              </w:rPr>
              <w:t xml:space="preserve"> to </w:t>
            </w:r>
            <w:r w:rsidRPr="007848D0">
              <w:rPr>
                <w:lang w:val="en-US"/>
              </w:rPr>
              <w:t>the resolution of the BoD.</w:t>
            </w:r>
          </w:p>
          <w:p w:rsidR="004A36F0" w:rsidRPr="007848D0" w:rsidRDefault="00982103"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 Confidential</w:t>
            </w:r>
          </w:p>
          <w:p w:rsidR="00982103" w:rsidRPr="007848D0" w:rsidRDefault="00982103"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3</w:t>
            </w:r>
            <w:r w:rsidRPr="007848D0">
              <w:rPr>
                <w:rFonts w:ascii="Times New Roman" w:hAnsi="Times New Roman" w:cs="Times New Roman"/>
                <w:sz w:val="24"/>
                <w:szCs w:val="24"/>
                <w:lang w:val="en-US"/>
              </w:rPr>
              <w:t xml:space="preserve">. To </w:t>
            </w:r>
            <w:r w:rsidRPr="007848D0">
              <w:rPr>
                <w:rFonts w:ascii="Times New Roman" w:hAnsi="Times New Roman" w:cs="Times New Roman"/>
                <w:sz w:val="24"/>
                <w:szCs w:val="24"/>
                <w:lang w:val="en-US"/>
              </w:rPr>
              <w:t>instruct</w:t>
            </w:r>
            <w:r w:rsidRPr="007848D0">
              <w:rPr>
                <w:rFonts w:ascii="Times New Roman" w:hAnsi="Times New Roman" w:cs="Times New Roman"/>
                <w:sz w:val="24"/>
                <w:szCs w:val="24"/>
                <w:lang w:val="en-US"/>
              </w:rPr>
              <w:t xml:space="preserve"> the Company’s CEO: </w:t>
            </w:r>
          </w:p>
          <w:p w:rsidR="00982103" w:rsidRPr="007848D0" w:rsidRDefault="00982103" w:rsidP="00982103">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3</w:t>
            </w:r>
            <w:r w:rsidRPr="007848D0">
              <w:rPr>
                <w:rFonts w:ascii="Times New Roman" w:hAnsi="Times New Roman" w:cs="Times New Roman"/>
                <w:sz w:val="24"/>
                <w:szCs w:val="24"/>
                <w:lang w:val="en-US"/>
              </w:rPr>
              <w:t>.1.</w:t>
            </w:r>
            <w:r w:rsidRPr="007848D0">
              <w:rPr>
                <w:rFonts w:ascii="Times New Roman" w:hAnsi="Times New Roman" w:cs="Times New Roman"/>
                <w:sz w:val="24"/>
                <w:szCs w:val="24"/>
                <w:lang w:val="en-US"/>
              </w:rPr>
              <w:t xml:space="preserve"> Till April 30, 2016 to bring into correspondence the data on the number and the maximum capacity of power receivers of electricity consumers connected to the power grids of “Kubanenergo” PSC, whose maximum power is not less than 670 kW, </w:t>
            </w:r>
            <w:r w:rsidR="00A450D2" w:rsidRPr="007848D0">
              <w:rPr>
                <w:rFonts w:ascii="Times New Roman" w:hAnsi="Times New Roman" w:cs="Times New Roman"/>
                <w:sz w:val="24"/>
                <w:szCs w:val="24"/>
                <w:lang w:val="en-US"/>
              </w:rPr>
              <w:t xml:space="preserve">in </w:t>
            </w:r>
            <w:r w:rsidRPr="007848D0">
              <w:rPr>
                <w:rFonts w:ascii="Times New Roman" w:hAnsi="Times New Roman" w:cs="Times New Roman"/>
                <w:sz w:val="24"/>
                <w:szCs w:val="24"/>
                <w:lang w:val="en-US"/>
              </w:rPr>
              <w:t xml:space="preserve">the statement of attestation of maximum power and </w:t>
            </w:r>
            <w:r w:rsidR="00A450D2" w:rsidRPr="007848D0">
              <w:rPr>
                <w:rFonts w:ascii="Times New Roman" w:hAnsi="Times New Roman" w:cs="Times New Roman"/>
                <w:sz w:val="24"/>
                <w:szCs w:val="24"/>
                <w:lang w:val="en-US"/>
              </w:rPr>
              <w:t>in computer-assisted reports acquisition system of “</w:t>
            </w:r>
            <w:r w:rsidRPr="007848D0">
              <w:rPr>
                <w:rFonts w:ascii="Times New Roman" w:hAnsi="Times New Roman" w:cs="Times New Roman"/>
                <w:sz w:val="24"/>
                <w:szCs w:val="24"/>
                <w:lang w:val="en-US"/>
              </w:rPr>
              <w:t>Rossetti</w:t>
            </w:r>
            <w:r w:rsidR="00A450D2" w:rsidRPr="007848D0">
              <w:rPr>
                <w:rFonts w:ascii="Times New Roman" w:hAnsi="Times New Roman" w:cs="Times New Roman"/>
                <w:sz w:val="24"/>
                <w:szCs w:val="24"/>
                <w:lang w:val="en-US"/>
              </w:rPr>
              <w:t>” PJSC</w:t>
            </w:r>
            <w:r w:rsidRPr="007848D0">
              <w:rPr>
                <w:rFonts w:ascii="Times New Roman" w:hAnsi="Times New Roman" w:cs="Times New Roman"/>
                <w:sz w:val="24"/>
                <w:szCs w:val="24"/>
                <w:lang w:val="en-US"/>
              </w:rPr>
              <w:t xml:space="preserve">; </w:t>
            </w:r>
          </w:p>
          <w:p w:rsidR="00982103" w:rsidRPr="007848D0" w:rsidRDefault="00982103" w:rsidP="00226FE0">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3</w:t>
            </w:r>
            <w:r w:rsidRPr="007848D0">
              <w:rPr>
                <w:rFonts w:ascii="Times New Roman" w:hAnsi="Times New Roman" w:cs="Times New Roman"/>
                <w:sz w:val="24"/>
                <w:szCs w:val="24"/>
                <w:lang w:val="en-US"/>
              </w:rPr>
              <w:t xml:space="preserve">.2. Within 1 month after </w:t>
            </w:r>
            <w:r w:rsidR="00A450D2" w:rsidRPr="007848D0">
              <w:rPr>
                <w:rFonts w:ascii="Times New Roman" w:hAnsi="Times New Roman" w:cs="Times New Roman"/>
                <w:sz w:val="24"/>
                <w:szCs w:val="24"/>
                <w:lang w:val="en-US"/>
              </w:rPr>
              <w:t xml:space="preserve">implementation of </w:t>
            </w:r>
            <w:r w:rsidRPr="007848D0">
              <w:rPr>
                <w:rFonts w:ascii="Times New Roman" w:hAnsi="Times New Roman" w:cs="Times New Roman"/>
                <w:sz w:val="24"/>
                <w:szCs w:val="24"/>
                <w:lang w:val="en-US"/>
              </w:rPr>
              <w:t>the order specified in the paragraph 3.1 hereof</w:t>
            </w:r>
            <w:r w:rsidRPr="007848D0">
              <w:rPr>
                <w:rFonts w:ascii="Times New Roman" w:hAnsi="Times New Roman" w:cs="Times New Roman"/>
                <w:sz w:val="24"/>
                <w:szCs w:val="24"/>
                <w:lang w:val="en-US"/>
              </w:rPr>
              <w:t xml:space="preserve">, to </w:t>
            </w:r>
            <w:r w:rsidRPr="007848D0">
              <w:rPr>
                <w:rFonts w:ascii="Times New Roman" w:hAnsi="Times New Roman" w:cs="Times New Roman"/>
                <w:sz w:val="24"/>
                <w:szCs w:val="24"/>
                <w:lang w:val="en-US"/>
              </w:rPr>
              <w:t>ensure</w:t>
            </w:r>
            <w:r w:rsidRPr="007848D0">
              <w:rPr>
                <w:rFonts w:ascii="Times New Roman" w:hAnsi="Times New Roman" w:cs="Times New Roman"/>
                <w:sz w:val="24"/>
                <w:szCs w:val="24"/>
                <w:lang w:val="en-US"/>
              </w:rPr>
              <w:t xml:space="preserve"> preparation of materials and </w:t>
            </w:r>
            <w:r w:rsidR="00226FE0" w:rsidRPr="007848D0">
              <w:rPr>
                <w:rFonts w:ascii="Times New Roman" w:hAnsi="Times New Roman" w:cs="Times New Roman"/>
                <w:sz w:val="24"/>
                <w:szCs w:val="24"/>
                <w:lang w:val="en-US"/>
              </w:rPr>
              <w:t xml:space="preserve">second </w:t>
            </w:r>
            <w:r w:rsidRPr="007848D0">
              <w:rPr>
                <w:rFonts w:ascii="Times New Roman" w:hAnsi="Times New Roman" w:cs="Times New Roman"/>
                <w:sz w:val="24"/>
                <w:szCs w:val="24"/>
                <w:lang w:val="en-US"/>
              </w:rPr>
              <w:t>submission</w:t>
            </w:r>
            <w:r w:rsidRPr="007848D0">
              <w:rPr>
                <w:rFonts w:ascii="Times New Roman" w:hAnsi="Times New Roman" w:cs="Times New Roman"/>
                <w:sz w:val="24"/>
                <w:szCs w:val="24"/>
                <w:lang w:val="en-US"/>
              </w:rPr>
              <w:t xml:space="preserve"> of the </w:t>
            </w:r>
            <w:r w:rsidR="00226FE0" w:rsidRPr="007848D0">
              <w:rPr>
                <w:rFonts w:ascii="Times New Roman" w:hAnsi="Times New Roman" w:cs="Times New Roman"/>
                <w:sz w:val="24"/>
                <w:szCs w:val="24"/>
                <w:lang w:val="en-US"/>
              </w:rPr>
              <w:t>agenda item</w:t>
            </w:r>
            <w:r w:rsidRPr="007848D0">
              <w:rPr>
                <w:rFonts w:ascii="Times New Roman" w:hAnsi="Times New Roman" w:cs="Times New Roman"/>
                <w:sz w:val="24"/>
                <w:szCs w:val="24"/>
                <w:lang w:val="en-US"/>
              </w:rPr>
              <w:t xml:space="preserve"> “</w:t>
            </w:r>
            <w:r w:rsidR="00226FE0" w:rsidRPr="007848D0">
              <w:rPr>
                <w:rFonts w:ascii="Times New Roman" w:hAnsi="Times New Roman" w:cs="Times New Roman"/>
                <w:sz w:val="24"/>
                <w:szCs w:val="24"/>
                <w:lang w:val="en-US"/>
              </w:rPr>
              <w:t>On discussion of the report of the sole executive body of “Kubanenergo” PJSC on certification of max output consumers</w:t>
            </w:r>
            <w:r w:rsidRPr="007848D0">
              <w:rPr>
                <w:rFonts w:ascii="Times New Roman" w:hAnsi="Times New Roman" w:cs="Times New Roman"/>
                <w:sz w:val="24"/>
                <w:szCs w:val="24"/>
                <w:lang w:val="en-US"/>
              </w:rPr>
              <w:t xml:space="preserve">” </w:t>
            </w:r>
            <w:r w:rsidR="00226FE0" w:rsidRPr="007848D0">
              <w:rPr>
                <w:rFonts w:ascii="Times New Roman" w:hAnsi="Times New Roman" w:cs="Times New Roman"/>
                <w:sz w:val="24"/>
                <w:szCs w:val="24"/>
                <w:lang w:val="en-US"/>
              </w:rPr>
              <w:t xml:space="preserve">on the carried out attestation of </w:t>
            </w:r>
            <w:r w:rsidR="00226FE0" w:rsidRPr="007848D0">
              <w:rPr>
                <w:rFonts w:ascii="Times New Roman" w:hAnsi="Times New Roman" w:cs="Times New Roman"/>
                <w:sz w:val="24"/>
                <w:szCs w:val="24"/>
                <w:lang w:val="en-US"/>
              </w:rPr>
              <w:t xml:space="preserve">max output </w:t>
            </w:r>
            <w:r w:rsidR="00226FE0" w:rsidRPr="007848D0">
              <w:rPr>
                <w:rFonts w:ascii="Times New Roman" w:hAnsi="Times New Roman" w:cs="Times New Roman"/>
                <w:sz w:val="24"/>
                <w:szCs w:val="24"/>
                <w:lang w:val="en-US"/>
              </w:rPr>
              <w:t xml:space="preserve">of </w:t>
            </w:r>
            <w:r w:rsidR="00226FE0" w:rsidRPr="007848D0">
              <w:rPr>
                <w:rFonts w:ascii="Times New Roman" w:hAnsi="Times New Roman" w:cs="Times New Roman"/>
                <w:sz w:val="24"/>
                <w:szCs w:val="24"/>
                <w:lang w:val="en-US"/>
              </w:rPr>
              <w:t>consumers</w:t>
            </w:r>
            <w:r w:rsidR="00226FE0" w:rsidRPr="007848D0">
              <w:rPr>
                <w:rFonts w:ascii="Times New Roman" w:hAnsi="Times New Roman" w:cs="Times New Roman"/>
                <w:sz w:val="24"/>
                <w:szCs w:val="24"/>
                <w:lang w:val="en-US"/>
              </w:rPr>
              <w:t xml:space="preserve"> of electric energy</w:t>
            </w:r>
            <w:r w:rsidRPr="007848D0">
              <w:rPr>
                <w:rFonts w:ascii="Times New Roman" w:hAnsi="Times New Roman" w:cs="Times New Roman"/>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0069DD">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t>Disclosure of insider information on item No.</w:t>
            </w:r>
            <w:r w:rsidRPr="007848D0">
              <w:rPr>
                <w:rFonts w:ascii="Times New Roman" w:hAnsi="Times New Roman" w:cs="Times New Roman"/>
                <w:b/>
                <w:sz w:val="24"/>
                <w:szCs w:val="24"/>
                <w:lang w:val="en-US"/>
              </w:rPr>
              <w:t xml:space="preserve"> 14 “</w:t>
            </w:r>
            <w:r w:rsidRPr="007848D0">
              <w:rPr>
                <w:rFonts w:ascii="Times New Roman" w:hAnsi="Times New Roman" w:cs="Times New Roman"/>
                <w:b/>
                <w:sz w:val="24"/>
                <w:szCs w:val="24"/>
                <w:lang w:val="en-US"/>
              </w:rPr>
              <w:t>On approving the report on results of implementation of the business plan (including the investment programme and information on the key operational risks) of “Kubanenergo” PJSC  in the 4</w:t>
            </w:r>
            <w:r w:rsidRPr="007848D0">
              <w:rPr>
                <w:rFonts w:ascii="Times New Roman" w:hAnsi="Times New Roman" w:cs="Times New Roman"/>
                <w:b/>
                <w:sz w:val="24"/>
                <w:szCs w:val="24"/>
                <w:vertAlign w:val="superscript"/>
                <w:lang w:val="en-US"/>
              </w:rPr>
              <w:t>th</w:t>
            </w:r>
            <w:r w:rsidRPr="007848D0">
              <w:rPr>
                <w:rFonts w:ascii="Times New Roman" w:hAnsi="Times New Roman" w:cs="Times New Roman"/>
                <w:b/>
                <w:sz w:val="24"/>
                <w:szCs w:val="24"/>
                <w:lang w:val="en-US"/>
              </w:rPr>
              <w:t xml:space="preserve"> quarter and 12 months of 2015</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D5466C">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2.2.1</w:t>
            </w:r>
            <w:r w:rsidRPr="007848D0">
              <w:rPr>
                <w:rFonts w:ascii="Times New Roman" w:hAnsi="Times New Roman" w:cs="Times New Roman"/>
                <w:sz w:val="24"/>
                <w:szCs w:val="24"/>
                <w:lang w:val="en-US"/>
              </w:rPr>
              <w:t>4</w:t>
            </w:r>
            <w:r w:rsidRPr="007848D0">
              <w:rPr>
                <w:rFonts w:ascii="Times New Roman" w:hAnsi="Times New Roman" w:cs="Times New Roman"/>
                <w:sz w:val="24"/>
                <w:szCs w:val="24"/>
                <w:lang w:val="en-US"/>
              </w:rPr>
              <w:t xml:space="preserve">  Decision adopted by issuer’s Board of Directors:</w:t>
            </w:r>
          </w:p>
          <w:p w:rsidR="00226FE0" w:rsidRPr="007848D0" w:rsidRDefault="00226FE0" w:rsidP="00226FE0">
            <w:pPr>
              <w:tabs>
                <w:tab w:val="left" w:pos="0"/>
                <w:tab w:val="left" w:pos="34"/>
                <w:tab w:val="left" w:pos="202"/>
                <w:tab w:val="left" w:pos="397"/>
              </w:tabs>
              <w:adjustRightInd w:val="0"/>
              <w:jc w:val="both"/>
              <w:outlineLvl w:val="3"/>
              <w:rPr>
                <w:lang w:val="en-US"/>
              </w:rPr>
            </w:pPr>
            <w:r w:rsidRPr="007848D0">
              <w:rPr>
                <w:lang w:val="en-US"/>
              </w:rPr>
              <w:t xml:space="preserve">1. To approve </w:t>
            </w:r>
            <w:r w:rsidRPr="007848D0">
              <w:rPr>
                <w:lang w:val="en-US" w:eastAsia="en-US"/>
              </w:rPr>
              <w:t>the report on results of implementation of the business plan (including the investment programme and information on the key operational risks) of “Kubanenergo” PJSC  in the 4</w:t>
            </w:r>
            <w:r w:rsidRPr="007848D0">
              <w:rPr>
                <w:vertAlign w:val="superscript"/>
                <w:lang w:val="en-US" w:eastAsia="en-US"/>
              </w:rPr>
              <w:t>th</w:t>
            </w:r>
            <w:r w:rsidRPr="007848D0">
              <w:rPr>
                <w:lang w:val="en-US" w:eastAsia="en-US"/>
              </w:rPr>
              <w:t xml:space="preserve"> quarter and 12 months of 2015</w:t>
            </w:r>
            <w:r w:rsidR="00AD514A" w:rsidRPr="007848D0">
              <w:rPr>
                <w:lang w:val="en-US"/>
              </w:rPr>
              <w:t>,</w:t>
            </w:r>
            <w:r w:rsidRPr="007848D0">
              <w:rPr>
                <w:lang w:val="en-US"/>
              </w:rPr>
              <w:t xml:space="preserve"> </w:t>
            </w:r>
            <w:r w:rsidRPr="007848D0">
              <w:rPr>
                <w:lang w:val="en"/>
              </w:rPr>
              <w:t xml:space="preserve">in accordance with Annex </w:t>
            </w:r>
            <w:r w:rsidRPr="007848D0">
              <w:rPr>
                <w:lang w:val="en"/>
              </w:rPr>
              <w:t>9</w:t>
            </w:r>
            <w:r w:rsidRPr="007848D0">
              <w:rPr>
                <w:lang w:val="en"/>
              </w:rPr>
              <w:t xml:space="preserve"> to </w:t>
            </w:r>
            <w:r w:rsidRPr="007848D0">
              <w:rPr>
                <w:lang w:val="en-US"/>
              </w:rPr>
              <w:t>the resolution of the BoD.</w:t>
            </w:r>
          </w:p>
          <w:p w:rsidR="00226FE0" w:rsidRPr="007848D0" w:rsidRDefault="00226FE0" w:rsidP="00226FE0">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 Confidential</w:t>
            </w:r>
          </w:p>
          <w:p w:rsidR="00D5466C" w:rsidRPr="007848D0" w:rsidRDefault="00226FE0" w:rsidP="000069D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3</w:t>
            </w:r>
            <w:r w:rsidRPr="007848D0">
              <w:rPr>
                <w:rFonts w:ascii="Times New Roman" w:hAnsi="Times New Roman" w:cs="Times New Roman"/>
                <w:sz w:val="24"/>
                <w:szCs w:val="24"/>
                <w:lang w:val="en-US"/>
              </w:rPr>
              <w:t>. Confidential</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DF4D50">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t>Disclosure of insider information on item No.</w:t>
            </w:r>
            <w:r w:rsidRPr="007848D0">
              <w:rPr>
                <w:rFonts w:ascii="Times New Roman" w:hAnsi="Times New Roman" w:cs="Times New Roman"/>
                <w:b/>
                <w:sz w:val="24"/>
                <w:szCs w:val="24"/>
                <w:lang w:val="en-US"/>
              </w:rPr>
              <w:t>15 “</w:t>
            </w:r>
            <w:r w:rsidRPr="007848D0">
              <w:rPr>
                <w:rFonts w:ascii="Times New Roman" w:hAnsi="Times New Roman" w:cs="Times New Roman"/>
                <w:b/>
                <w:sz w:val="24"/>
                <w:szCs w:val="24"/>
                <w:lang w:val="en-US"/>
              </w:rPr>
              <w:t>On approving the implementation of the target values ​​of key performance indicators of the General Director of “Kubanenergo” PJSC in the 4</w:t>
            </w:r>
            <w:r w:rsidRPr="007848D0">
              <w:rPr>
                <w:rFonts w:ascii="Times New Roman" w:hAnsi="Times New Roman" w:cs="Times New Roman"/>
                <w:b/>
                <w:sz w:val="24"/>
                <w:szCs w:val="24"/>
                <w:vertAlign w:val="superscript"/>
                <w:lang w:val="en-US"/>
              </w:rPr>
              <w:t>th</w:t>
            </w:r>
            <w:r w:rsidRPr="007848D0">
              <w:rPr>
                <w:rFonts w:ascii="Times New Roman" w:hAnsi="Times New Roman" w:cs="Times New Roman"/>
                <w:b/>
                <w:sz w:val="24"/>
                <w:szCs w:val="24"/>
                <w:lang w:val="en-US"/>
              </w:rPr>
              <w:t xml:space="preserve"> quarter 2015</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DF4D50">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2.2.1</w:t>
            </w:r>
            <w:r w:rsidRPr="007848D0">
              <w:rPr>
                <w:rFonts w:ascii="Times New Roman" w:hAnsi="Times New Roman" w:cs="Times New Roman"/>
                <w:sz w:val="24"/>
                <w:szCs w:val="24"/>
                <w:lang w:val="en-US"/>
              </w:rPr>
              <w:t>5</w:t>
            </w:r>
            <w:r w:rsidRPr="007848D0">
              <w:rPr>
                <w:rFonts w:ascii="Times New Roman" w:hAnsi="Times New Roman" w:cs="Times New Roman"/>
                <w:sz w:val="24"/>
                <w:szCs w:val="24"/>
                <w:lang w:val="en-US"/>
              </w:rPr>
              <w:t xml:space="preserve">  Decision adopted by issuer’s Board of Directors:</w:t>
            </w:r>
          </w:p>
          <w:p w:rsidR="00D5466C" w:rsidRPr="007848D0" w:rsidRDefault="00AD514A" w:rsidP="00AD514A">
            <w:pPr>
              <w:tabs>
                <w:tab w:val="left" w:pos="0"/>
                <w:tab w:val="left" w:pos="34"/>
                <w:tab w:val="left" w:pos="202"/>
                <w:tab w:val="left" w:pos="397"/>
              </w:tabs>
              <w:adjustRightInd w:val="0"/>
              <w:jc w:val="both"/>
              <w:outlineLvl w:val="3"/>
              <w:rPr>
                <w:lang w:val="en-US"/>
              </w:rPr>
            </w:pPr>
            <w:r w:rsidRPr="007848D0">
              <w:rPr>
                <w:lang w:val="en-US"/>
              </w:rPr>
              <w:t xml:space="preserve">To approve the results of </w:t>
            </w:r>
            <w:r w:rsidRPr="007848D0">
              <w:rPr>
                <w:lang w:val="en-US" w:eastAsia="en-US"/>
              </w:rPr>
              <w:t>implementation of the target values ​​of key performance indicators of the General Director of “Kubanenergo” PJSC in the 4</w:t>
            </w:r>
            <w:r w:rsidRPr="007848D0">
              <w:rPr>
                <w:vertAlign w:val="superscript"/>
                <w:lang w:val="en-US" w:eastAsia="en-US"/>
              </w:rPr>
              <w:t>th</w:t>
            </w:r>
            <w:r w:rsidRPr="007848D0">
              <w:rPr>
                <w:lang w:val="en-US" w:eastAsia="en-US"/>
              </w:rPr>
              <w:t xml:space="preserve"> quarter 2015</w:t>
            </w:r>
            <w:r w:rsidRPr="007848D0">
              <w:rPr>
                <w:lang w:val="en-US"/>
              </w:rPr>
              <w:t xml:space="preserve">, </w:t>
            </w:r>
            <w:r w:rsidRPr="007848D0">
              <w:rPr>
                <w:lang w:val="en"/>
              </w:rPr>
              <w:t xml:space="preserve">in accordance with Annex </w:t>
            </w:r>
            <w:r w:rsidRPr="007848D0">
              <w:rPr>
                <w:lang w:val="en"/>
              </w:rPr>
              <w:t>11</w:t>
            </w:r>
            <w:r w:rsidRPr="007848D0">
              <w:rPr>
                <w:lang w:val="en"/>
              </w:rPr>
              <w:t xml:space="preserve"> to </w:t>
            </w:r>
            <w:r w:rsidRPr="007848D0">
              <w:rPr>
                <w:lang w:val="en-US"/>
              </w:rPr>
              <w:t>the resolution of the BoD.</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DF4D50">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t>Disclosure of insider information on item No.</w:t>
            </w:r>
            <w:r w:rsidRPr="007848D0">
              <w:rPr>
                <w:rFonts w:ascii="Times New Roman" w:hAnsi="Times New Roman" w:cs="Times New Roman"/>
                <w:b/>
                <w:sz w:val="24"/>
                <w:szCs w:val="24"/>
                <w:lang w:val="en-US"/>
              </w:rPr>
              <w:t>16 “</w:t>
            </w:r>
            <w:r w:rsidRPr="007848D0">
              <w:rPr>
                <w:rFonts w:ascii="Times New Roman" w:hAnsi="Times New Roman" w:cs="Times New Roman"/>
                <w:b/>
                <w:sz w:val="24"/>
                <w:szCs w:val="24"/>
                <w:lang w:val="en-US"/>
              </w:rPr>
              <w:t>On approval of the Credit plan of Kubanenergo PJSC for the 2</w:t>
            </w:r>
            <w:r w:rsidRPr="007848D0">
              <w:rPr>
                <w:rFonts w:ascii="Times New Roman" w:hAnsi="Times New Roman" w:cs="Times New Roman"/>
                <w:b/>
                <w:sz w:val="24"/>
                <w:szCs w:val="24"/>
                <w:vertAlign w:val="superscript"/>
                <w:lang w:val="en-US"/>
              </w:rPr>
              <w:t>nd</w:t>
            </w:r>
            <w:r w:rsidRPr="007848D0">
              <w:rPr>
                <w:rFonts w:ascii="Times New Roman" w:hAnsi="Times New Roman" w:cs="Times New Roman"/>
                <w:b/>
                <w:sz w:val="24"/>
                <w:szCs w:val="24"/>
                <w:lang w:val="en-US"/>
              </w:rPr>
              <w:t xml:space="preserve"> quarter of 2016”</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DF4D50">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2.2.1</w:t>
            </w:r>
            <w:r w:rsidRPr="007848D0">
              <w:rPr>
                <w:rFonts w:ascii="Times New Roman" w:hAnsi="Times New Roman" w:cs="Times New Roman"/>
                <w:sz w:val="24"/>
                <w:szCs w:val="24"/>
                <w:lang w:val="en-US"/>
              </w:rPr>
              <w:t>6</w:t>
            </w:r>
            <w:r w:rsidRPr="007848D0">
              <w:rPr>
                <w:rFonts w:ascii="Times New Roman" w:hAnsi="Times New Roman" w:cs="Times New Roman"/>
                <w:sz w:val="24"/>
                <w:szCs w:val="24"/>
                <w:lang w:val="en-US"/>
              </w:rPr>
              <w:t xml:space="preserve">  Decision adopted by issuer’s Board of Directors:</w:t>
            </w:r>
          </w:p>
          <w:p w:rsidR="00D5466C" w:rsidRPr="007848D0" w:rsidRDefault="00AD514A" w:rsidP="00AD514A">
            <w:pPr>
              <w:tabs>
                <w:tab w:val="left" w:pos="0"/>
                <w:tab w:val="left" w:pos="34"/>
                <w:tab w:val="left" w:pos="202"/>
                <w:tab w:val="left" w:pos="397"/>
              </w:tabs>
              <w:adjustRightInd w:val="0"/>
              <w:jc w:val="both"/>
              <w:outlineLvl w:val="3"/>
              <w:rPr>
                <w:lang w:val="en-US"/>
              </w:rPr>
            </w:pPr>
            <w:r w:rsidRPr="007848D0">
              <w:rPr>
                <w:lang w:val="en-US"/>
              </w:rPr>
              <w:t xml:space="preserve">To approve </w:t>
            </w:r>
            <w:r w:rsidRPr="007848D0">
              <w:rPr>
                <w:lang w:val="en-US" w:eastAsia="en-US"/>
              </w:rPr>
              <w:t>the Credit plan of Kubanenergo PJSC for the 2</w:t>
            </w:r>
            <w:r w:rsidRPr="007848D0">
              <w:rPr>
                <w:vertAlign w:val="superscript"/>
                <w:lang w:val="en-US" w:eastAsia="en-US"/>
              </w:rPr>
              <w:t>nd</w:t>
            </w:r>
            <w:r w:rsidRPr="007848D0">
              <w:rPr>
                <w:lang w:val="en-US"/>
              </w:rPr>
              <w:t xml:space="preserve"> quarter of 2016, </w:t>
            </w:r>
            <w:r w:rsidRPr="007848D0">
              <w:rPr>
                <w:lang w:val="en"/>
              </w:rPr>
              <w:t xml:space="preserve">in accordance with Annex </w:t>
            </w:r>
            <w:r w:rsidRPr="007848D0">
              <w:rPr>
                <w:lang w:val="en"/>
              </w:rPr>
              <w:t>11</w:t>
            </w:r>
            <w:r w:rsidRPr="007848D0">
              <w:rPr>
                <w:lang w:val="en"/>
              </w:rPr>
              <w:t xml:space="preserve"> to </w:t>
            </w:r>
            <w:r w:rsidRPr="007848D0">
              <w:rPr>
                <w:lang w:val="en-US"/>
              </w:rPr>
              <w:t>the resolution of the BoD.</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AD514A">
            <w:pPr>
              <w:pStyle w:val="a5"/>
              <w:jc w:val="both"/>
              <w:rPr>
                <w:rFonts w:ascii="Times New Roman" w:hAnsi="Times New Roman" w:cs="Times New Roman"/>
                <w:sz w:val="24"/>
                <w:szCs w:val="24"/>
                <w:lang w:val="en-US"/>
              </w:rPr>
            </w:pPr>
            <w:r w:rsidRPr="007848D0">
              <w:rPr>
                <w:rFonts w:ascii="Times New Roman" w:hAnsi="Times New Roman" w:cs="Times New Roman"/>
                <w:b/>
                <w:sz w:val="24"/>
                <w:szCs w:val="24"/>
                <w:lang w:val="en-US"/>
              </w:rPr>
              <w:t>Disclosure of insider information on item No.</w:t>
            </w:r>
            <w:r w:rsidR="00AD514A" w:rsidRPr="007848D0">
              <w:rPr>
                <w:rFonts w:ascii="Times New Roman" w:hAnsi="Times New Roman" w:cs="Times New Roman"/>
                <w:b/>
                <w:sz w:val="24"/>
                <w:szCs w:val="24"/>
                <w:lang w:val="en-US"/>
              </w:rPr>
              <w:t xml:space="preserve"> 17 “On rendering charity support by </w:t>
            </w:r>
            <w:r w:rsidR="00AD514A" w:rsidRPr="007848D0">
              <w:rPr>
                <w:rFonts w:ascii="Times New Roman" w:hAnsi="Times New Roman" w:cs="Times New Roman"/>
                <w:b/>
                <w:sz w:val="24"/>
                <w:szCs w:val="24"/>
                <w:lang w:val="en-US"/>
              </w:rPr>
              <w:lastRenderedPageBreak/>
              <w:t>Kubanenergo PJSC in 2016”</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tcPr>
          <w:p w:rsidR="00D5466C" w:rsidRPr="007848D0" w:rsidRDefault="00D5466C" w:rsidP="00DF4D50">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lastRenderedPageBreak/>
              <w:t>2.2.13  Decision adopted by issuer’s Board of Directors:</w:t>
            </w:r>
          </w:p>
          <w:p w:rsidR="00AD514A" w:rsidRPr="007848D0" w:rsidRDefault="00AD514A" w:rsidP="00DF4D50">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1. To approve the Company’s rendering charity support by Kubanenergo PJSC in 2016, </w:t>
            </w:r>
            <w:r w:rsidRPr="007848D0">
              <w:rPr>
                <w:rFonts w:ascii="Times New Roman" w:hAnsi="Times New Roman" w:cs="Times New Roman"/>
                <w:sz w:val="24"/>
                <w:szCs w:val="24"/>
                <w:lang w:val="en"/>
              </w:rPr>
              <w:t xml:space="preserve">in accordance with Annex </w:t>
            </w:r>
            <w:r w:rsidRPr="007848D0">
              <w:rPr>
                <w:rFonts w:ascii="Times New Roman" w:hAnsi="Times New Roman" w:cs="Times New Roman"/>
                <w:sz w:val="24"/>
                <w:szCs w:val="24"/>
                <w:lang w:val="en"/>
              </w:rPr>
              <w:t>12</w:t>
            </w:r>
            <w:r w:rsidRPr="007848D0">
              <w:rPr>
                <w:rFonts w:ascii="Times New Roman" w:hAnsi="Times New Roman" w:cs="Times New Roman"/>
                <w:sz w:val="24"/>
                <w:szCs w:val="24"/>
                <w:lang w:val="en"/>
              </w:rPr>
              <w:t xml:space="preserve"> to </w:t>
            </w:r>
            <w:r w:rsidRPr="007848D0">
              <w:rPr>
                <w:rFonts w:ascii="Times New Roman" w:hAnsi="Times New Roman" w:cs="Times New Roman"/>
                <w:sz w:val="24"/>
                <w:szCs w:val="24"/>
                <w:lang w:val="en-US"/>
              </w:rPr>
              <w:t xml:space="preserve">the resolution of the BoD. </w:t>
            </w:r>
          </w:p>
          <w:p w:rsidR="00D5466C" w:rsidRPr="007848D0" w:rsidRDefault="00AD514A" w:rsidP="00AD514A">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2. To entrust the </w:t>
            </w:r>
            <w:r w:rsidRPr="007848D0">
              <w:rPr>
                <w:rFonts w:ascii="Times New Roman" w:hAnsi="Times New Roman" w:cs="Times New Roman"/>
                <w:sz w:val="24"/>
                <w:szCs w:val="24"/>
                <w:lang w:val="en-US"/>
              </w:rPr>
              <w:t>sole executive body</w:t>
            </w:r>
            <w:r w:rsidRPr="007848D0">
              <w:rPr>
                <w:rFonts w:ascii="Times New Roman" w:hAnsi="Times New Roman" w:cs="Times New Roman"/>
                <w:sz w:val="24"/>
                <w:szCs w:val="24"/>
                <w:lang w:val="en-US"/>
              </w:rPr>
              <w:t xml:space="preserve"> of the Company to </w:t>
            </w:r>
            <w:r w:rsidRPr="007848D0">
              <w:rPr>
                <w:rFonts w:ascii="Times New Roman" w:hAnsi="Times New Roman" w:cs="Times New Roman"/>
                <w:sz w:val="24"/>
                <w:szCs w:val="24"/>
                <w:lang w:val="en-US"/>
              </w:rPr>
              <w:t>ensure</w:t>
            </w:r>
            <w:r w:rsidRPr="007848D0">
              <w:rPr>
                <w:rFonts w:ascii="Times New Roman" w:hAnsi="Times New Roman" w:cs="Times New Roman"/>
                <w:sz w:val="24"/>
                <w:szCs w:val="24"/>
                <w:lang w:val="en-US"/>
              </w:rPr>
              <w:t xml:space="preserve"> the funding</w:t>
            </w:r>
            <w:r w:rsidRPr="007848D0">
              <w:rPr>
                <w:rFonts w:ascii="Times New Roman" w:hAnsi="Times New Roman" w:cs="Times New Roman"/>
                <w:sz w:val="24"/>
                <w:szCs w:val="24"/>
                <w:lang w:val="en-US"/>
              </w:rPr>
              <w:t xml:space="preserve"> of charity activity</w:t>
            </w:r>
            <w:r w:rsidRPr="007848D0">
              <w:rPr>
                <w:rFonts w:ascii="Times New Roman" w:hAnsi="Times New Roman" w:cs="Times New Roman"/>
                <w:sz w:val="24"/>
                <w:szCs w:val="24"/>
                <w:lang w:val="en-US"/>
              </w:rPr>
              <w:t>, without deterioration of financial performance taking into account</w:t>
            </w:r>
            <w:r w:rsidRPr="007848D0">
              <w:rPr>
                <w:rFonts w:ascii="Times New Roman" w:hAnsi="Times New Roman" w:cs="Times New Roman"/>
                <w:sz w:val="24"/>
                <w:szCs w:val="24"/>
                <w:lang w:val="en-US"/>
              </w:rPr>
              <w:t xml:space="preserve"> the</w:t>
            </w:r>
            <w:r w:rsidRPr="007848D0">
              <w:rPr>
                <w:rFonts w:ascii="Times New Roman" w:hAnsi="Times New Roman" w:cs="Times New Roman"/>
                <w:sz w:val="24"/>
                <w:szCs w:val="24"/>
                <w:lang w:val="en-US"/>
              </w:rPr>
              <w:t xml:space="preserve"> required implementation of the indicator for reduction of specific operating expenses following the results of 2016 planned </w:t>
            </w:r>
            <w:r w:rsidRPr="007848D0">
              <w:rPr>
                <w:rFonts w:ascii="Times New Roman" w:hAnsi="Times New Roman" w:cs="Times New Roman"/>
                <w:sz w:val="24"/>
                <w:szCs w:val="24"/>
                <w:lang w:val="en-US"/>
              </w:rPr>
              <w:t xml:space="preserve">in the </w:t>
            </w:r>
            <w:r w:rsidRPr="007848D0">
              <w:rPr>
                <w:rFonts w:ascii="Times New Roman" w:hAnsi="Times New Roman" w:cs="Times New Roman"/>
                <w:sz w:val="24"/>
                <w:szCs w:val="24"/>
                <w:lang w:val="en-US"/>
              </w:rPr>
              <w:t xml:space="preserve"> Company</w:t>
            </w:r>
            <w:r w:rsidRPr="007848D0">
              <w:rPr>
                <w:rFonts w:ascii="Times New Roman" w:hAnsi="Times New Roman" w:cs="Times New Roman"/>
                <w:sz w:val="24"/>
                <w:szCs w:val="24"/>
                <w:lang w:val="en-US"/>
              </w:rPr>
              <w:t>’s</w:t>
            </w:r>
            <w:r w:rsidRPr="007848D0">
              <w:rPr>
                <w:rFonts w:ascii="Times New Roman" w:hAnsi="Times New Roman" w:cs="Times New Roman"/>
                <w:sz w:val="24"/>
                <w:szCs w:val="24"/>
                <w:lang w:val="en-US"/>
              </w:rPr>
              <w:t xml:space="preserve"> </w:t>
            </w:r>
            <w:r w:rsidRPr="007848D0">
              <w:rPr>
                <w:rFonts w:ascii="Times New Roman" w:hAnsi="Times New Roman" w:cs="Times New Roman"/>
                <w:sz w:val="24"/>
                <w:szCs w:val="24"/>
                <w:lang w:val="en-US"/>
              </w:rPr>
              <w:t>b</w:t>
            </w:r>
            <w:r w:rsidRPr="007848D0">
              <w:rPr>
                <w:rFonts w:ascii="Times New Roman" w:hAnsi="Times New Roman" w:cs="Times New Roman"/>
                <w:sz w:val="24"/>
                <w:szCs w:val="24"/>
                <w:lang w:val="en-US"/>
              </w:rPr>
              <w:t xml:space="preserve">usiness </w:t>
            </w:r>
            <w:r w:rsidRPr="007848D0">
              <w:rPr>
                <w:rFonts w:ascii="Times New Roman" w:hAnsi="Times New Roman" w:cs="Times New Roman"/>
                <w:sz w:val="24"/>
                <w:szCs w:val="24"/>
                <w:lang w:val="en-US"/>
              </w:rPr>
              <w:t>p</w:t>
            </w:r>
            <w:r w:rsidRPr="007848D0">
              <w:rPr>
                <w:rFonts w:ascii="Times New Roman" w:hAnsi="Times New Roman" w:cs="Times New Roman"/>
                <w:sz w:val="24"/>
                <w:szCs w:val="24"/>
                <w:lang w:val="en-US"/>
              </w:rPr>
              <w:t>lan for 2016.</w:t>
            </w:r>
          </w:p>
        </w:tc>
      </w:tr>
      <w:tr w:rsidR="007848D0" w:rsidRPr="007848D0" w:rsidTr="000069DD">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both"/>
              <w:rPr>
                <w:rFonts w:ascii="Times New Roman" w:hAnsi="Times New Roman" w:cs="Times New Roman"/>
                <w:b/>
                <w:sz w:val="24"/>
                <w:szCs w:val="24"/>
                <w:lang w:val="en-US"/>
              </w:rPr>
            </w:pPr>
            <w:r w:rsidRPr="007848D0">
              <w:rPr>
                <w:rFonts w:ascii="Times New Roman" w:hAnsi="Times New Roman" w:cs="Times New Roman"/>
                <w:sz w:val="24"/>
                <w:szCs w:val="24"/>
                <w:lang w:val="en-US"/>
              </w:rPr>
              <w:t xml:space="preserve">2.3. Date of holding the meeting of Board of Directors: </w:t>
            </w:r>
            <w:r w:rsidR="00AD514A" w:rsidRPr="007848D0">
              <w:rPr>
                <w:rFonts w:ascii="Times New Roman" w:hAnsi="Times New Roman" w:cs="Times New Roman"/>
                <w:sz w:val="24"/>
                <w:szCs w:val="24"/>
                <w:lang w:val="en-US"/>
              </w:rPr>
              <w:t>27</w:t>
            </w:r>
            <w:r w:rsidRPr="007848D0">
              <w:rPr>
                <w:rFonts w:ascii="Times New Roman" w:hAnsi="Times New Roman" w:cs="Times New Roman"/>
                <w:sz w:val="24"/>
                <w:szCs w:val="24"/>
                <w:lang w:val="en-US"/>
              </w:rPr>
              <w:t xml:space="preserve"> </w:t>
            </w:r>
            <w:r w:rsidR="00AD514A" w:rsidRPr="007848D0">
              <w:rPr>
                <w:rFonts w:ascii="Times New Roman" w:hAnsi="Times New Roman" w:cs="Times New Roman"/>
                <w:sz w:val="24"/>
                <w:szCs w:val="24"/>
                <w:lang w:val="en-US"/>
              </w:rPr>
              <w:t>April</w:t>
            </w:r>
            <w:r w:rsidRPr="007848D0">
              <w:rPr>
                <w:rFonts w:ascii="Times New Roman" w:hAnsi="Times New Roman" w:cs="Times New Roman"/>
                <w:sz w:val="24"/>
                <w:szCs w:val="24"/>
                <w:lang w:val="en-US"/>
              </w:rPr>
              <w:t xml:space="preserve"> 2016</w:t>
            </w:r>
          </w:p>
          <w:p w:rsidR="004A36F0" w:rsidRPr="007848D0" w:rsidRDefault="004A36F0" w:rsidP="006C14BD">
            <w:pPr>
              <w:pStyle w:val="a5"/>
              <w:jc w:val="both"/>
              <w:rPr>
                <w:rFonts w:ascii="Times New Roman" w:hAnsi="Times New Roman" w:cs="Times New Roman"/>
                <w:sz w:val="24"/>
                <w:szCs w:val="24"/>
                <w:lang w:val="en-US"/>
              </w:rPr>
            </w:pPr>
            <w:r w:rsidRPr="007848D0">
              <w:rPr>
                <w:rFonts w:ascii="Times New Roman" w:hAnsi="Times New Roman" w:cs="Times New Roman"/>
                <w:sz w:val="24"/>
                <w:szCs w:val="24"/>
                <w:lang w:val="en-US"/>
              </w:rPr>
              <w:t xml:space="preserve">2.4. Date of making and number of minutes of meeting: </w:t>
            </w:r>
            <w:r w:rsidR="006C14BD" w:rsidRPr="007848D0">
              <w:rPr>
                <w:rFonts w:ascii="Times New Roman" w:hAnsi="Times New Roman" w:cs="Times New Roman"/>
                <w:sz w:val="24"/>
                <w:szCs w:val="24"/>
                <w:lang w:val="en-US"/>
              </w:rPr>
              <w:t>28</w:t>
            </w:r>
            <w:r w:rsidRPr="007848D0">
              <w:rPr>
                <w:rFonts w:ascii="Times New Roman" w:hAnsi="Times New Roman" w:cs="Times New Roman"/>
                <w:sz w:val="24"/>
                <w:szCs w:val="24"/>
                <w:lang w:val="en-US"/>
              </w:rPr>
              <w:t xml:space="preserve"> April 2016, minutes of meeting No.23</w:t>
            </w:r>
            <w:r w:rsidR="006C14BD" w:rsidRPr="007848D0">
              <w:rPr>
                <w:rFonts w:ascii="Times New Roman" w:hAnsi="Times New Roman" w:cs="Times New Roman"/>
                <w:sz w:val="24"/>
                <w:szCs w:val="24"/>
                <w:lang w:val="en-US"/>
              </w:rPr>
              <w:t>7</w:t>
            </w:r>
            <w:r w:rsidRPr="007848D0">
              <w:rPr>
                <w:rFonts w:ascii="Times New Roman" w:hAnsi="Times New Roman" w:cs="Times New Roman"/>
                <w:sz w:val="24"/>
                <w:szCs w:val="24"/>
                <w:lang w:val="en-US"/>
              </w:rPr>
              <w:t>/2016</w:t>
            </w:r>
            <w:r w:rsidRPr="007848D0">
              <w:rPr>
                <w:rFonts w:ascii="Times New Roman" w:hAnsi="Times New Roman" w:cs="Times New Roman"/>
                <w:b/>
                <w:sz w:val="24"/>
                <w:szCs w:val="24"/>
                <w:lang w:val="en-US"/>
              </w:rPr>
              <w:t>.</w:t>
            </w:r>
          </w:p>
        </w:tc>
      </w:tr>
      <w:tr w:rsidR="007848D0" w:rsidRPr="007848D0" w:rsidTr="000069DD">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7848D0" w:rsidRDefault="004A36F0" w:rsidP="000069DD">
            <w:pPr>
              <w:pStyle w:val="a5"/>
              <w:jc w:val="center"/>
              <w:rPr>
                <w:rFonts w:ascii="Times New Roman" w:hAnsi="Times New Roman" w:cs="Times New Roman"/>
                <w:sz w:val="24"/>
                <w:szCs w:val="24"/>
              </w:rPr>
            </w:pPr>
            <w:r w:rsidRPr="007848D0">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7848D0" w:rsidRPr="007848D0" w:rsidTr="000069DD">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4A36F0" w:rsidRPr="007848D0" w:rsidRDefault="004A36F0" w:rsidP="000069DD">
            <w:pPr>
              <w:spacing w:line="276" w:lineRule="auto"/>
              <w:jc w:val="both"/>
              <w:rPr>
                <w:lang w:val="en-US" w:eastAsia="en-US"/>
              </w:rPr>
            </w:pPr>
            <w:r w:rsidRPr="007848D0">
              <w:rPr>
                <w:lang w:val="en-US" w:eastAsia="en-US"/>
              </w:rPr>
              <w:t>3.1 Head of corporate management and shareholders relations department (</w:t>
            </w:r>
            <w:r w:rsidRPr="007848D0">
              <w:rPr>
                <w:lang w:val="en-US"/>
              </w:rPr>
              <w:t xml:space="preserve">acting under letter of attorney 119/10-2849 </w:t>
            </w:r>
            <w:r w:rsidRPr="007848D0">
              <w:rPr>
                <w:lang w:val="en-US" w:eastAsia="en-US"/>
              </w:rPr>
              <w:t>dated 17.03.2016)</w:t>
            </w:r>
          </w:p>
          <w:p w:rsidR="004A36F0" w:rsidRPr="007848D0" w:rsidRDefault="004A36F0" w:rsidP="000069DD">
            <w:pPr>
              <w:spacing w:line="276" w:lineRule="auto"/>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4A36F0" w:rsidRPr="007848D0" w:rsidRDefault="004A36F0" w:rsidP="000069DD">
            <w:pPr>
              <w:spacing w:line="276" w:lineRule="auto"/>
              <w:jc w:val="both"/>
              <w:rPr>
                <w:lang w:val="en-US" w:eastAsia="en-US"/>
              </w:rPr>
            </w:pPr>
          </w:p>
          <w:p w:rsidR="004A36F0" w:rsidRPr="007848D0" w:rsidRDefault="004A36F0" w:rsidP="000069DD">
            <w:pPr>
              <w:spacing w:line="276" w:lineRule="auto"/>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4A36F0" w:rsidRPr="007848D0" w:rsidRDefault="004A36F0" w:rsidP="000069DD">
            <w:pPr>
              <w:spacing w:line="276" w:lineRule="auto"/>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4A36F0" w:rsidRPr="007848D0" w:rsidRDefault="004A36F0" w:rsidP="000069DD">
            <w:pPr>
              <w:spacing w:line="276" w:lineRule="auto"/>
              <w:jc w:val="both"/>
              <w:rPr>
                <w:lang w:val="en-US" w:eastAsia="en-US"/>
              </w:rPr>
            </w:pPr>
            <w:proofErr w:type="spellStart"/>
            <w:r w:rsidRPr="007848D0">
              <w:rPr>
                <w:lang w:val="en-US" w:eastAsia="en-US"/>
              </w:rPr>
              <w:t>Didenko</w:t>
            </w:r>
            <w:proofErr w:type="spellEnd"/>
            <w:r w:rsidRPr="007848D0">
              <w:rPr>
                <w:lang w:val="en-US" w:eastAsia="en-US"/>
              </w:rPr>
              <w:t xml:space="preserve"> </w:t>
            </w:r>
            <w:proofErr w:type="spellStart"/>
            <w:r w:rsidRPr="007848D0">
              <w:rPr>
                <w:lang w:val="en-US" w:eastAsia="en-US"/>
              </w:rPr>
              <w:t>Ye.Ye</w:t>
            </w:r>
            <w:proofErr w:type="spellEnd"/>
            <w:r w:rsidRPr="007848D0">
              <w:rPr>
                <w:lang w:val="en-US" w:eastAsia="en-US"/>
              </w:rPr>
              <w:t>.</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4A36F0" w:rsidRPr="007848D0" w:rsidRDefault="004A36F0" w:rsidP="000069DD">
            <w:pPr>
              <w:spacing w:line="276" w:lineRule="auto"/>
              <w:jc w:val="both"/>
              <w:rPr>
                <w:lang w:val="en-US" w:eastAsia="en-US"/>
              </w:rPr>
            </w:pPr>
          </w:p>
        </w:tc>
      </w:tr>
      <w:tr w:rsidR="007848D0" w:rsidRPr="007848D0" w:rsidTr="000069DD">
        <w:trPr>
          <w:cantSplit/>
        </w:trPr>
        <w:tc>
          <w:tcPr>
            <w:tcW w:w="0" w:type="auto"/>
            <w:vMerge/>
            <w:tcBorders>
              <w:top w:val="single" w:sz="4" w:space="0" w:color="auto"/>
              <w:left w:val="single" w:sz="4" w:space="0" w:color="auto"/>
              <w:bottom w:val="nil"/>
              <w:right w:val="nil"/>
            </w:tcBorders>
            <w:vAlign w:val="center"/>
            <w:hideMark/>
          </w:tcPr>
          <w:p w:rsidR="004A36F0" w:rsidRPr="007848D0" w:rsidRDefault="004A36F0" w:rsidP="000069DD">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4A36F0" w:rsidRPr="007848D0" w:rsidRDefault="004A36F0" w:rsidP="000069DD">
            <w:pPr>
              <w:spacing w:line="276" w:lineRule="auto"/>
              <w:jc w:val="both"/>
              <w:rPr>
                <w:lang w:val="en-US" w:eastAsia="en-US"/>
              </w:rPr>
            </w:pPr>
            <w:r w:rsidRPr="007848D0">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4A36F0" w:rsidRPr="007848D0" w:rsidRDefault="004A36F0" w:rsidP="000069DD">
            <w:pPr>
              <w:spacing w:line="276" w:lineRule="auto"/>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4A36F0" w:rsidRPr="007848D0" w:rsidRDefault="004A36F0" w:rsidP="000069DD">
            <w:pPr>
              <w:spacing w:line="276" w:lineRule="auto"/>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4A36F0" w:rsidRPr="007848D0" w:rsidRDefault="004A36F0" w:rsidP="000069DD">
            <w:pPr>
              <w:spacing w:line="276" w:lineRule="auto"/>
              <w:jc w:val="both"/>
              <w:rPr>
                <w:lang w:val="en-US" w:eastAsia="en-US"/>
              </w:rPr>
            </w:pPr>
          </w:p>
        </w:tc>
      </w:tr>
      <w:tr w:rsidR="007848D0" w:rsidRPr="007848D0" w:rsidTr="000069DD">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4A36F0" w:rsidRPr="007848D0" w:rsidRDefault="004A36F0" w:rsidP="006C14BD">
            <w:pPr>
              <w:spacing w:line="276" w:lineRule="auto"/>
              <w:jc w:val="both"/>
              <w:rPr>
                <w:lang w:val="en-US" w:eastAsia="en-US"/>
              </w:rPr>
            </w:pPr>
            <w:r w:rsidRPr="007848D0">
              <w:rPr>
                <w:lang w:val="en-US" w:eastAsia="en-US"/>
              </w:rPr>
              <w:t xml:space="preserve">3.2 Date: </w:t>
            </w:r>
            <w:r w:rsidR="006C14BD" w:rsidRPr="007848D0">
              <w:rPr>
                <w:lang w:val="en-US" w:eastAsia="en-US"/>
              </w:rPr>
              <w:t>28</w:t>
            </w:r>
            <w:r w:rsidRPr="007848D0">
              <w:rPr>
                <w:lang w:val="en-US"/>
              </w:rPr>
              <w:t xml:space="preserve"> April </w:t>
            </w:r>
            <w:r w:rsidRPr="007848D0">
              <w:rPr>
                <w:lang w:val="en-US" w:eastAsia="en-US"/>
              </w:rPr>
              <w:t>2016</w:t>
            </w:r>
          </w:p>
        </w:tc>
        <w:tc>
          <w:tcPr>
            <w:tcW w:w="1700" w:type="dxa"/>
            <w:tcBorders>
              <w:top w:val="nil"/>
              <w:left w:val="nil"/>
              <w:bottom w:val="nil"/>
              <w:right w:val="nil"/>
            </w:tcBorders>
            <w:tcMar>
              <w:top w:w="0" w:type="dxa"/>
              <w:left w:w="28" w:type="dxa"/>
              <w:bottom w:w="0" w:type="dxa"/>
              <w:right w:w="28" w:type="dxa"/>
            </w:tcMar>
            <w:vAlign w:val="bottom"/>
          </w:tcPr>
          <w:p w:rsidR="004A36F0" w:rsidRPr="007848D0" w:rsidRDefault="004A36F0" w:rsidP="000069DD">
            <w:pPr>
              <w:spacing w:line="276" w:lineRule="auto"/>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4A36F0" w:rsidRPr="007848D0" w:rsidRDefault="004A36F0" w:rsidP="000069DD">
            <w:pPr>
              <w:spacing w:line="276" w:lineRule="auto"/>
              <w:jc w:val="both"/>
              <w:rPr>
                <w:lang w:val="en-US" w:eastAsia="en-US"/>
              </w:rPr>
            </w:pPr>
          </w:p>
        </w:tc>
      </w:tr>
      <w:tr w:rsidR="007848D0" w:rsidRPr="007848D0" w:rsidTr="000069DD">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4A36F0" w:rsidRPr="007848D0" w:rsidRDefault="004A36F0" w:rsidP="000069DD">
            <w:pPr>
              <w:spacing w:line="276" w:lineRule="auto"/>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4A36F0" w:rsidRPr="007848D0" w:rsidRDefault="004A36F0" w:rsidP="000069DD">
            <w:pPr>
              <w:spacing w:line="276" w:lineRule="auto"/>
              <w:jc w:val="both"/>
              <w:rPr>
                <w:lang w:val="en-US" w:eastAsia="en-US"/>
              </w:rPr>
            </w:pPr>
            <w:r w:rsidRPr="007848D0">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4A36F0" w:rsidRPr="007848D0" w:rsidRDefault="004A36F0" w:rsidP="000069DD">
            <w:pPr>
              <w:spacing w:line="276" w:lineRule="auto"/>
              <w:jc w:val="both"/>
              <w:rPr>
                <w:lang w:val="en-US" w:eastAsia="en-US"/>
              </w:rPr>
            </w:pPr>
          </w:p>
        </w:tc>
      </w:tr>
    </w:tbl>
    <w:p w:rsidR="004A36F0" w:rsidRPr="007848D0" w:rsidRDefault="004A36F0" w:rsidP="004A36F0">
      <w:pPr>
        <w:rPr>
          <w:lang w:val="en-US"/>
        </w:rPr>
      </w:pPr>
    </w:p>
    <w:p w:rsidR="004A36F0" w:rsidRPr="007848D0" w:rsidRDefault="004A36F0" w:rsidP="004A36F0"/>
    <w:p w:rsidR="004A36F0" w:rsidRPr="007848D0" w:rsidRDefault="004A36F0" w:rsidP="004A36F0"/>
    <w:p w:rsidR="004A36F0" w:rsidRPr="007848D0" w:rsidRDefault="004A36F0" w:rsidP="004A36F0"/>
    <w:bookmarkEnd w:id="0"/>
    <w:p w:rsidR="004E06C8" w:rsidRPr="007848D0" w:rsidRDefault="004E06C8"/>
    <w:sectPr w:rsidR="004E06C8" w:rsidRPr="00784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CD6"/>
    <w:multiLevelType w:val="hybridMultilevel"/>
    <w:tmpl w:val="000072AE"/>
    <w:lvl w:ilvl="0" w:tplc="00006952">
      <w:start w:val="8"/>
      <w:numFmt w:val="decimal"/>
      <w:lvlText w:val="2.2.%1."/>
      <w:lvlJc w:val="left"/>
      <w:pPr>
        <w:tabs>
          <w:tab w:val="num" w:pos="720"/>
        </w:tabs>
        <w:ind w:left="720" w:hanging="360"/>
      </w:pPr>
    </w:lvl>
    <w:lvl w:ilvl="1" w:tplc="00005F90">
      <w:start w:val="1"/>
      <w:numFmt w:val="decimal"/>
      <w:lvlText w:val="%2."/>
      <w:lvlJc w:val="left"/>
      <w:pPr>
        <w:tabs>
          <w:tab w:val="num" w:pos="1636"/>
        </w:tabs>
        <w:ind w:left="1636"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25C94194"/>
    <w:multiLevelType w:val="hybridMultilevel"/>
    <w:tmpl w:val="1BC0034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60057262"/>
    <w:multiLevelType w:val="hybridMultilevel"/>
    <w:tmpl w:val="91AC0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8"/>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F0"/>
    <w:rsid w:val="000F1F62"/>
    <w:rsid w:val="00185221"/>
    <w:rsid w:val="00226FE0"/>
    <w:rsid w:val="00303478"/>
    <w:rsid w:val="00373D94"/>
    <w:rsid w:val="00430ED3"/>
    <w:rsid w:val="004708F7"/>
    <w:rsid w:val="004A36F0"/>
    <w:rsid w:val="004B4C4C"/>
    <w:rsid w:val="004B6A59"/>
    <w:rsid w:val="004E06C8"/>
    <w:rsid w:val="005C0EE4"/>
    <w:rsid w:val="00615A0C"/>
    <w:rsid w:val="006C14BD"/>
    <w:rsid w:val="007848D0"/>
    <w:rsid w:val="007D20EC"/>
    <w:rsid w:val="00854732"/>
    <w:rsid w:val="00877ED3"/>
    <w:rsid w:val="008B3193"/>
    <w:rsid w:val="009444BA"/>
    <w:rsid w:val="00982103"/>
    <w:rsid w:val="009F4AC6"/>
    <w:rsid w:val="00A450D2"/>
    <w:rsid w:val="00A92A78"/>
    <w:rsid w:val="00AD514A"/>
    <w:rsid w:val="00AE3403"/>
    <w:rsid w:val="00B80E08"/>
    <w:rsid w:val="00BF3AA2"/>
    <w:rsid w:val="00CC70B1"/>
    <w:rsid w:val="00D47366"/>
    <w:rsid w:val="00D5466C"/>
    <w:rsid w:val="00DB7971"/>
    <w:rsid w:val="00E54457"/>
    <w:rsid w:val="00E82E6D"/>
    <w:rsid w:val="00F02EA1"/>
    <w:rsid w:val="00F9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F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6F0"/>
    <w:rPr>
      <w:color w:val="0000FF" w:themeColor="hyperlink"/>
      <w:u w:val="single"/>
    </w:rPr>
  </w:style>
  <w:style w:type="character" w:customStyle="1" w:styleId="a4">
    <w:name w:val="Без интервала Знак"/>
    <w:link w:val="a5"/>
    <w:uiPriority w:val="1"/>
    <w:locked/>
    <w:rsid w:val="004A36F0"/>
  </w:style>
  <w:style w:type="paragraph" w:styleId="a5">
    <w:name w:val="No Spacing"/>
    <w:link w:val="a4"/>
    <w:uiPriority w:val="1"/>
    <w:qFormat/>
    <w:rsid w:val="004A36F0"/>
    <w:pPr>
      <w:spacing w:after="0" w:line="240" w:lineRule="auto"/>
    </w:pPr>
  </w:style>
  <w:style w:type="table" w:styleId="a6">
    <w:name w:val="Table Grid"/>
    <w:basedOn w:val="a1"/>
    <w:uiPriority w:val="59"/>
    <w:rsid w:val="004A36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36F0"/>
    <w:pPr>
      <w:ind w:left="720"/>
      <w:contextualSpacing/>
    </w:pPr>
  </w:style>
  <w:style w:type="character" w:customStyle="1" w:styleId="apple-converted-space">
    <w:name w:val="apple-converted-space"/>
    <w:basedOn w:val="a0"/>
    <w:rsid w:val="00430ED3"/>
  </w:style>
  <w:style w:type="character" w:styleId="a8">
    <w:name w:val="Emphasis"/>
    <w:basedOn w:val="a0"/>
    <w:uiPriority w:val="20"/>
    <w:qFormat/>
    <w:rsid w:val="00430E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F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6F0"/>
    <w:rPr>
      <w:color w:val="0000FF" w:themeColor="hyperlink"/>
      <w:u w:val="single"/>
    </w:rPr>
  </w:style>
  <w:style w:type="character" w:customStyle="1" w:styleId="a4">
    <w:name w:val="Без интервала Знак"/>
    <w:link w:val="a5"/>
    <w:uiPriority w:val="1"/>
    <w:locked/>
    <w:rsid w:val="004A36F0"/>
  </w:style>
  <w:style w:type="paragraph" w:styleId="a5">
    <w:name w:val="No Spacing"/>
    <w:link w:val="a4"/>
    <w:uiPriority w:val="1"/>
    <w:qFormat/>
    <w:rsid w:val="004A36F0"/>
    <w:pPr>
      <w:spacing w:after="0" w:line="240" w:lineRule="auto"/>
    </w:pPr>
  </w:style>
  <w:style w:type="table" w:styleId="a6">
    <w:name w:val="Table Grid"/>
    <w:basedOn w:val="a1"/>
    <w:uiPriority w:val="59"/>
    <w:rsid w:val="004A36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36F0"/>
    <w:pPr>
      <w:ind w:left="720"/>
      <w:contextualSpacing/>
    </w:pPr>
  </w:style>
  <w:style w:type="character" w:customStyle="1" w:styleId="apple-converted-space">
    <w:name w:val="apple-converted-space"/>
    <w:basedOn w:val="a0"/>
    <w:rsid w:val="00430ED3"/>
  </w:style>
  <w:style w:type="character" w:styleId="a8">
    <w:name w:val="Emphasis"/>
    <w:basedOn w:val="a0"/>
    <w:uiPriority w:val="20"/>
    <w:qFormat/>
    <w:rsid w:val="00430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372">
      <w:bodyDiv w:val="1"/>
      <w:marLeft w:val="0"/>
      <w:marRight w:val="0"/>
      <w:marTop w:val="0"/>
      <w:marBottom w:val="0"/>
      <w:divBdr>
        <w:top w:val="none" w:sz="0" w:space="0" w:color="auto"/>
        <w:left w:val="none" w:sz="0" w:space="0" w:color="auto"/>
        <w:bottom w:val="none" w:sz="0" w:space="0" w:color="auto"/>
        <w:right w:val="none" w:sz="0" w:space="0" w:color="auto"/>
      </w:divBdr>
    </w:div>
    <w:div w:id="143278678">
      <w:bodyDiv w:val="1"/>
      <w:marLeft w:val="0"/>
      <w:marRight w:val="0"/>
      <w:marTop w:val="0"/>
      <w:marBottom w:val="0"/>
      <w:divBdr>
        <w:top w:val="none" w:sz="0" w:space="0" w:color="auto"/>
        <w:left w:val="none" w:sz="0" w:space="0" w:color="auto"/>
        <w:bottom w:val="none" w:sz="0" w:space="0" w:color="auto"/>
        <w:right w:val="none" w:sz="0" w:space="0" w:color="auto"/>
      </w:divBdr>
    </w:div>
    <w:div w:id="197395736">
      <w:bodyDiv w:val="1"/>
      <w:marLeft w:val="0"/>
      <w:marRight w:val="0"/>
      <w:marTop w:val="0"/>
      <w:marBottom w:val="0"/>
      <w:divBdr>
        <w:top w:val="none" w:sz="0" w:space="0" w:color="auto"/>
        <w:left w:val="none" w:sz="0" w:space="0" w:color="auto"/>
        <w:bottom w:val="none" w:sz="0" w:space="0" w:color="auto"/>
        <w:right w:val="none" w:sz="0" w:space="0" w:color="auto"/>
      </w:divBdr>
    </w:div>
    <w:div w:id="197549634">
      <w:bodyDiv w:val="1"/>
      <w:marLeft w:val="0"/>
      <w:marRight w:val="0"/>
      <w:marTop w:val="0"/>
      <w:marBottom w:val="0"/>
      <w:divBdr>
        <w:top w:val="none" w:sz="0" w:space="0" w:color="auto"/>
        <w:left w:val="none" w:sz="0" w:space="0" w:color="auto"/>
        <w:bottom w:val="none" w:sz="0" w:space="0" w:color="auto"/>
        <w:right w:val="none" w:sz="0" w:space="0" w:color="auto"/>
      </w:divBdr>
    </w:div>
    <w:div w:id="298152265">
      <w:bodyDiv w:val="1"/>
      <w:marLeft w:val="0"/>
      <w:marRight w:val="0"/>
      <w:marTop w:val="0"/>
      <w:marBottom w:val="0"/>
      <w:divBdr>
        <w:top w:val="none" w:sz="0" w:space="0" w:color="auto"/>
        <w:left w:val="none" w:sz="0" w:space="0" w:color="auto"/>
        <w:bottom w:val="none" w:sz="0" w:space="0" w:color="auto"/>
        <w:right w:val="none" w:sz="0" w:space="0" w:color="auto"/>
      </w:divBdr>
    </w:div>
    <w:div w:id="361715239">
      <w:bodyDiv w:val="1"/>
      <w:marLeft w:val="0"/>
      <w:marRight w:val="0"/>
      <w:marTop w:val="0"/>
      <w:marBottom w:val="0"/>
      <w:divBdr>
        <w:top w:val="none" w:sz="0" w:space="0" w:color="auto"/>
        <w:left w:val="none" w:sz="0" w:space="0" w:color="auto"/>
        <w:bottom w:val="none" w:sz="0" w:space="0" w:color="auto"/>
        <w:right w:val="none" w:sz="0" w:space="0" w:color="auto"/>
      </w:divBdr>
    </w:div>
    <w:div w:id="509175591">
      <w:bodyDiv w:val="1"/>
      <w:marLeft w:val="0"/>
      <w:marRight w:val="0"/>
      <w:marTop w:val="0"/>
      <w:marBottom w:val="0"/>
      <w:divBdr>
        <w:top w:val="none" w:sz="0" w:space="0" w:color="auto"/>
        <w:left w:val="none" w:sz="0" w:space="0" w:color="auto"/>
        <w:bottom w:val="none" w:sz="0" w:space="0" w:color="auto"/>
        <w:right w:val="none" w:sz="0" w:space="0" w:color="auto"/>
      </w:divBdr>
    </w:div>
    <w:div w:id="531500432">
      <w:bodyDiv w:val="1"/>
      <w:marLeft w:val="0"/>
      <w:marRight w:val="0"/>
      <w:marTop w:val="0"/>
      <w:marBottom w:val="0"/>
      <w:divBdr>
        <w:top w:val="none" w:sz="0" w:space="0" w:color="auto"/>
        <w:left w:val="none" w:sz="0" w:space="0" w:color="auto"/>
        <w:bottom w:val="none" w:sz="0" w:space="0" w:color="auto"/>
        <w:right w:val="none" w:sz="0" w:space="0" w:color="auto"/>
      </w:divBdr>
    </w:div>
    <w:div w:id="532577307">
      <w:bodyDiv w:val="1"/>
      <w:marLeft w:val="0"/>
      <w:marRight w:val="0"/>
      <w:marTop w:val="0"/>
      <w:marBottom w:val="0"/>
      <w:divBdr>
        <w:top w:val="none" w:sz="0" w:space="0" w:color="auto"/>
        <w:left w:val="none" w:sz="0" w:space="0" w:color="auto"/>
        <w:bottom w:val="none" w:sz="0" w:space="0" w:color="auto"/>
        <w:right w:val="none" w:sz="0" w:space="0" w:color="auto"/>
      </w:divBdr>
    </w:div>
    <w:div w:id="572278278">
      <w:bodyDiv w:val="1"/>
      <w:marLeft w:val="0"/>
      <w:marRight w:val="0"/>
      <w:marTop w:val="0"/>
      <w:marBottom w:val="0"/>
      <w:divBdr>
        <w:top w:val="none" w:sz="0" w:space="0" w:color="auto"/>
        <w:left w:val="none" w:sz="0" w:space="0" w:color="auto"/>
        <w:bottom w:val="none" w:sz="0" w:space="0" w:color="auto"/>
        <w:right w:val="none" w:sz="0" w:space="0" w:color="auto"/>
      </w:divBdr>
    </w:div>
    <w:div w:id="585266154">
      <w:bodyDiv w:val="1"/>
      <w:marLeft w:val="0"/>
      <w:marRight w:val="0"/>
      <w:marTop w:val="0"/>
      <w:marBottom w:val="0"/>
      <w:divBdr>
        <w:top w:val="none" w:sz="0" w:space="0" w:color="auto"/>
        <w:left w:val="none" w:sz="0" w:space="0" w:color="auto"/>
        <w:bottom w:val="none" w:sz="0" w:space="0" w:color="auto"/>
        <w:right w:val="none" w:sz="0" w:space="0" w:color="auto"/>
      </w:divBdr>
    </w:div>
    <w:div w:id="602610709">
      <w:bodyDiv w:val="1"/>
      <w:marLeft w:val="0"/>
      <w:marRight w:val="0"/>
      <w:marTop w:val="0"/>
      <w:marBottom w:val="0"/>
      <w:divBdr>
        <w:top w:val="none" w:sz="0" w:space="0" w:color="auto"/>
        <w:left w:val="none" w:sz="0" w:space="0" w:color="auto"/>
        <w:bottom w:val="none" w:sz="0" w:space="0" w:color="auto"/>
        <w:right w:val="none" w:sz="0" w:space="0" w:color="auto"/>
      </w:divBdr>
    </w:div>
    <w:div w:id="608128597">
      <w:bodyDiv w:val="1"/>
      <w:marLeft w:val="0"/>
      <w:marRight w:val="0"/>
      <w:marTop w:val="0"/>
      <w:marBottom w:val="0"/>
      <w:divBdr>
        <w:top w:val="none" w:sz="0" w:space="0" w:color="auto"/>
        <w:left w:val="none" w:sz="0" w:space="0" w:color="auto"/>
        <w:bottom w:val="none" w:sz="0" w:space="0" w:color="auto"/>
        <w:right w:val="none" w:sz="0" w:space="0" w:color="auto"/>
      </w:divBdr>
    </w:div>
    <w:div w:id="661200117">
      <w:bodyDiv w:val="1"/>
      <w:marLeft w:val="0"/>
      <w:marRight w:val="0"/>
      <w:marTop w:val="0"/>
      <w:marBottom w:val="0"/>
      <w:divBdr>
        <w:top w:val="none" w:sz="0" w:space="0" w:color="auto"/>
        <w:left w:val="none" w:sz="0" w:space="0" w:color="auto"/>
        <w:bottom w:val="none" w:sz="0" w:space="0" w:color="auto"/>
        <w:right w:val="none" w:sz="0" w:space="0" w:color="auto"/>
      </w:divBdr>
    </w:div>
    <w:div w:id="704451549">
      <w:bodyDiv w:val="1"/>
      <w:marLeft w:val="0"/>
      <w:marRight w:val="0"/>
      <w:marTop w:val="0"/>
      <w:marBottom w:val="0"/>
      <w:divBdr>
        <w:top w:val="none" w:sz="0" w:space="0" w:color="auto"/>
        <w:left w:val="none" w:sz="0" w:space="0" w:color="auto"/>
        <w:bottom w:val="none" w:sz="0" w:space="0" w:color="auto"/>
        <w:right w:val="none" w:sz="0" w:space="0" w:color="auto"/>
      </w:divBdr>
    </w:div>
    <w:div w:id="704528178">
      <w:bodyDiv w:val="1"/>
      <w:marLeft w:val="0"/>
      <w:marRight w:val="0"/>
      <w:marTop w:val="0"/>
      <w:marBottom w:val="0"/>
      <w:divBdr>
        <w:top w:val="none" w:sz="0" w:space="0" w:color="auto"/>
        <w:left w:val="none" w:sz="0" w:space="0" w:color="auto"/>
        <w:bottom w:val="none" w:sz="0" w:space="0" w:color="auto"/>
        <w:right w:val="none" w:sz="0" w:space="0" w:color="auto"/>
      </w:divBdr>
    </w:div>
    <w:div w:id="745153707">
      <w:bodyDiv w:val="1"/>
      <w:marLeft w:val="0"/>
      <w:marRight w:val="0"/>
      <w:marTop w:val="0"/>
      <w:marBottom w:val="0"/>
      <w:divBdr>
        <w:top w:val="none" w:sz="0" w:space="0" w:color="auto"/>
        <w:left w:val="none" w:sz="0" w:space="0" w:color="auto"/>
        <w:bottom w:val="none" w:sz="0" w:space="0" w:color="auto"/>
        <w:right w:val="none" w:sz="0" w:space="0" w:color="auto"/>
      </w:divBdr>
    </w:div>
    <w:div w:id="900092559">
      <w:bodyDiv w:val="1"/>
      <w:marLeft w:val="0"/>
      <w:marRight w:val="0"/>
      <w:marTop w:val="0"/>
      <w:marBottom w:val="0"/>
      <w:divBdr>
        <w:top w:val="none" w:sz="0" w:space="0" w:color="auto"/>
        <w:left w:val="none" w:sz="0" w:space="0" w:color="auto"/>
        <w:bottom w:val="none" w:sz="0" w:space="0" w:color="auto"/>
        <w:right w:val="none" w:sz="0" w:space="0" w:color="auto"/>
      </w:divBdr>
    </w:div>
    <w:div w:id="1071267449">
      <w:bodyDiv w:val="1"/>
      <w:marLeft w:val="0"/>
      <w:marRight w:val="0"/>
      <w:marTop w:val="0"/>
      <w:marBottom w:val="0"/>
      <w:divBdr>
        <w:top w:val="none" w:sz="0" w:space="0" w:color="auto"/>
        <w:left w:val="none" w:sz="0" w:space="0" w:color="auto"/>
        <w:bottom w:val="none" w:sz="0" w:space="0" w:color="auto"/>
        <w:right w:val="none" w:sz="0" w:space="0" w:color="auto"/>
      </w:divBdr>
    </w:div>
    <w:div w:id="1228415734">
      <w:bodyDiv w:val="1"/>
      <w:marLeft w:val="0"/>
      <w:marRight w:val="0"/>
      <w:marTop w:val="0"/>
      <w:marBottom w:val="0"/>
      <w:divBdr>
        <w:top w:val="none" w:sz="0" w:space="0" w:color="auto"/>
        <w:left w:val="none" w:sz="0" w:space="0" w:color="auto"/>
        <w:bottom w:val="none" w:sz="0" w:space="0" w:color="auto"/>
        <w:right w:val="none" w:sz="0" w:space="0" w:color="auto"/>
      </w:divBdr>
    </w:div>
    <w:div w:id="1239055932">
      <w:bodyDiv w:val="1"/>
      <w:marLeft w:val="0"/>
      <w:marRight w:val="0"/>
      <w:marTop w:val="0"/>
      <w:marBottom w:val="0"/>
      <w:divBdr>
        <w:top w:val="none" w:sz="0" w:space="0" w:color="auto"/>
        <w:left w:val="none" w:sz="0" w:space="0" w:color="auto"/>
        <w:bottom w:val="none" w:sz="0" w:space="0" w:color="auto"/>
        <w:right w:val="none" w:sz="0" w:space="0" w:color="auto"/>
      </w:divBdr>
    </w:div>
    <w:div w:id="1412194754">
      <w:bodyDiv w:val="1"/>
      <w:marLeft w:val="0"/>
      <w:marRight w:val="0"/>
      <w:marTop w:val="0"/>
      <w:marBottom w:val="0"/>
      <w:divBdr>
        <w:top w:val="none" w:sz="0" w:space="0" w:color="auto"/>
        <w:left w:val="none" w:sz="0" w:space="0" w:color="auto"/>
        <w:bottom w:val="none" w:sz="0" w:space="0" w:color="auto"/>
        <w:right w:val="none" w:sz="0" w:space="0" w:color="auto"/>
      </w:divBdr>
    </w:div>
    <w:div w:id="1546211902">
      <w:bodyDiv w:val="1"/>
      <w:marLeft w:val="0"/>
      <w:marRight w:val="0"/>
      <w:marTop w:val="0"/>
      <w:marBottom w:val="0"/>
      <w:divBdr>
        <w:top w:val="none" w:sz="0" w:space="0" w:color="auto"/>
        <w:left w:val="none" w:sz="0" w:space="0" w:color="auto"/>
        <w:bottom w:val="none" w:sz="0" w:space="0" w:color="auto"/>
        <w:right w:val="none" w:sz="0" w:space="0" w:color="auto"/>
      </w:divBdr>
    </w:div>
    <w:div w:id="1610964702">
      <w:bodyDiv w:val="1"/>
      <w:marLeft w:val="0"/>
      <w:marRight w:val="0"/>
      <w:marTop w:val="0"/>
      <w:marBottom w:val="0"/>
      <w:divBdr>
        <w:top w:val="none" w:sz="0" w:space="0" w:color="auto"/>
        <w:left w:val="none" w:sz="0" w:space="0" w:color="auto"/>
        <w:bottom w:val="none" w:sz="0" w:space="0" w:color="auto"/>
        <w:right w:val="none" w:sz="0" w:space="0" w:color="auto"/>
      </w:divBdr>
    </w:div>
    <w:div w:id="1653832747">
      <w:bodyDiv w:val="1"/>
      <w:marLeft w:val="0"/>
      <w:marRight w:val="0"/>
      <w:marTop w:val="0"/>
      <w:marBottom w:val="0"/>
      <w:divBdr>
        <w:top w:val="none" w:sz="0" w:space="0" w:color="auto"/>
        <w:left w:val="none" w:sz="0" w:space="0" w:color="auto"/>
        <w:bottom w:val="none" w:sz="0" w:space="0" w:color="auto"/>
        <w:right w:val="none" w:sz="0" w:space="0" w:color="auto"/>
      </w:divBdr>
    </w:div>
    <w:div w:id="1683437286">
      <w:bodyDiv w:val="1"/>
      <w:marLeft w:val="0"/>
      <w:marRight w:val="0"/>
      <w:marTop w:val="0"/>
      <w:marBottom w:val="0"/>
      <w:divBdr>
        <w:top w:val="none" w:sz="0" w:space="0" w:color="auto"/>
        <w:left w:val="none" w:sz="0" w:space="0" w:color="auto"/>
        <w:bottom w:val="none" w:sz="0" w:space="0" w:color="auto"/>
        <w:right w:val="none" w:sz="0" w:space="0" w:color="auto"/>
      </w:divBdr>
    </w:div>
    <w:div w:id="1690913108">
      <w:bodyDiv w:val="1"/>
      <w:marLeft w:val="0"/>
      <w:marRight w:val="0"/>
      <w:marTop w:val="0"/>
      <w:marBottom w:val="0"/>
      <w:divBdr>
        <w:top w:val="none" w:sz="0" w:space="0" w:color="auto"/>
        <w:left w:val="none" w:sz="0" w:space="0" w:color="auto"/>
        <w:bottom w:val="none" w:sz="0" w:space="0" w:color="auto"/>
        <w:right w:val="none" w:sz="0" w:space="0" w:color="auto"/>
      </w:divBdr>
    </w:div>
    <w:div w:id="1725831558">
      <w:bodyDiv w:val="1"/>
      <w:marLeft w:val="0"/>
      <w:marRight w:val="0"/>
      <w:marTop w:val="0"/>
      <w:marBottom w:val="0"/>
      <w:divBdr>
        <w:top w:val="none" w:sz="0" w:space="0" w:color="auto"/>
        <w:left w:val="none" w:sz="0" w:space="0" w:color="auto"/>
        <w:bottom w:val="none" w:sz="0" w:space="0" w:color="auto"/>
        <w:right w:val="none" w:sz="0" w:space="0" w:color="auto"/>
      </w:divBdr>
    </w:div>
    <w:div w:id="1855222340">
      <w:bodyDiv w:val="1"/>
      <w:marLeft w:val="0"/>
      <w:marRight w:val="0"/>
      <w:marTop w:val="0"/>
      <w:marBottom w:val="0"/>
      <w:divBdr>
        <w:top w:val="none" w:sz="0" w:space="0" w:color="auto"/>
        <w:left w:val="none" w:sz="0" w:space="0" w:color="auto"/>
        <w:bottom w:val="none" w:sz="0" w:space="0" w:color="auto"/>
        <w:right w:val="none" w:sz="0" w:space="0" w:color="auto"/>
      </w:divBdr>
    </w:div>
    <w:div w:id="1928494355">
      <w:bodyDiv w:val="1"/>
      <w:marLeft w:val="0"/>
      <w:marRight w:val="0"/>
      <w:marTop w:val="0"/>
      <w:marBottom w:val="0"/>
      <w:divBdr>
        <w:top w:val="none" w:sz="0" w:space="0" w:color="auto"/>
        <w:left w:val="none" w:sz="0" w:space="0" w:color="auto"/>
        <w:bottom w:val="none" w:sz="0" w:space="0" w:color="auto"/>
        <w:right w:val="none" w:sz="0" w:space="0" w:color="auto"/>
      </w:divBdr>
    </w:div>
    <w:div w:id="2046708322">
      <w:bodyDiv w:val="1"/>
      <w:marLeft w:val="0"/>
      <w:marRight w:val="0"/>
      <w:marTop w:val="0"/>
      <w:marBottom w:val="0"/>
      <w:divBdr>
        <w:top w:val="none" w:sz="0" w:space="0" w:color="auto"/>
        <w:left w:val="none" w:sz="0" w:space="0" w:color="auto"/>
        <w:bottom w:val="none" w:sz="0" w:space="0" w:color="auto"/>
        <w:right w:val="none" w:sz="0" w:space="0" w:color="auto"/>
      </w:divBdr>
    </w:div>
    <w:div w:id="2068915068">
      <w:bodyDiv w:val="1"/>
      <w:marLeft w:val="0"/>
      <w:marRight w:val="0"/>
      <w:marTop w:val="0"/>
      <w:marBottom w:val="0"/>
      <w:divBdr>
        <w:top w:val="none" w:sz="0" w:space="0" w:color="auto"/>
        <w:left w:val="none" w:sz="0" w:space="0" w:color="auto"/>
        <w:bottom w:val="none" w:sz="0" w:space="0" w:color="auto"/>
        <w:right w:val="none" w:sz="0" w:space="0" w:color="auto"/>
      </w:divBdr>
    </w:div>
    <w:div w:id="21358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3775</Words>
  <Characters>21521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35</cp:revision>
  <dcterms:created xsi:type="dcterms:W3CDTF">2016-05-13T19:53:00Z</dcterms:created>
  <dcterms:modified xsi:type="dcterms:W3CDTF">2016-05-27T17:51:00Z</dcterms:modified>
</cp:coreProperties>
</file>