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F7C" w:rsidRPr="00B4023C" w:rsidRDefault="002F1F7C" w:rsidP="002F1F7C">
      <w:pPr>
        <w:pStyle w:val="ConsNonformat"/>
        <w:widowControl/>
        <w:jc w:val="center"/>
        <w:rPr>
          <w:rFonts w:ascii="Times New Roman" w:hAnsi="Times New Roman" w:cs="Times New Roman"/>
          <w:b/>
          <w:bCs/>
          <w:sz w:val="24"/>
          <w:szCs w:val="24"/>
          <w:lang w:val="en-US"/>
        </w:rPr>
      </w:pPr>
      <w:r w:rsidRPr="00B4023C">
        <w:rPr>
          <w:rFonts w:ascii="Times New Roman" w:hAnsi="Times New Roman" w:cs="Times New Roman"/>
          <w:b/>
          <w:bCs/>
          <w:sz w:val="24"/>
          <w:szCs w:val="24"/>
          <w:lang w:val="en-US"/>
        </w:rPr>
        <w:t>Corporate action statement</w:t>
      </w:r>
    </w:p>
    <w:p w:rsidR="002F1F7C" w:rsidRPr="00B4023C" w:rsidRDefault="002F1F7C" w:rsidP="002F1F7C">
      <w:pPr>
        <w:jc w:val="center"/>
        <w:rPr>
          <w:b/>
          <w:bCs/>
          <w:sz w:val="24"/>
          <w:szCs w:val="24"/>
          <w:lang w:val="en-US"/>
        </w:rPr>
      </w:pPr>
      <w:r w:rsidRPr="00B4023C">
        <w:rPr>
          <w:b/>
          <w:bCs/>
          <w:sz w:val="24"/>
          <w:szCs w:val="24"/>
          <w:lang w:val="en-US"/>
        </w:rPr>
        <w:t>“On meeting of the issuer’s Board of Directors and its agenda”</w:t>
      </w:r>
    </w:p>
    <w:p w:rsidR="002F1F7C" w:rsidRPr="00B4023C" w:rsidRDefault="002F1F7C" w:rsidP="002F1F7C">
      <w:pPr>
        <w:jc w:val="center"/>
        <w:rPr>
          <w:b/>
          <w:bCs/>
          <w:sz w:val="24"/>
          <w:szCs w:val="24"/>
          <w:lang w:val="en-US"/>
        </w:rPr>
      </w:pPr>
      <w:r w:rsidRPr="00B4023C">
        <w:rPr>
          <w:b/>
          <w:bCs/>
          <w:sz w:val="24"/>
          <w:szCs w:val="24"/>
          <w:lang w:val="en-US"/>
        </w:rPr>
        <w:t>(</w:t>
      </w:r>
      <w:proofErr w:type="gramStart"/>
      <w:r w:rsidRPr="00B4023C">
        <w:rPr>
          <w:b/>
          <w:bCs/>
          <w:sz w:val="24"/>
          <w:szCs w:val="24"/>
          <w:lang w:val="en-US"/>
        </w:rPr>
        <w:t>disclosure</w:t>
      </w:r>
      <w:proofErr w:type="gramEnd"/>
      <w:r w:rsidRPr="00B4023C">
        <w:rPr>
          <w:b/>
          <w:bCs/>
          <w:sz w:val="24"/>
          <w:szCs w:val="24"/>
          <w:lang w:val="en-US"/>
        </w:rPr>
        <w:t xml:space="preserve"> of insider information)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733"/>
        <w:gridCol w:w="1976"/>
        <w:gridCol w:w="2669"/>
      </w:tblGrid>
      <w:tr w:rsidR="002F1F7C" w:rsidRPr="00B4023C" w:rsidTr="00D0100E">
        <w:tc>
          <w:tcPr>
            <w:tcW w:w="10206" w:type="dxa"/>
            <w:gridSpan w:val="4"/>
            <w:tcBorders>
              <w:top w:val="single" w:sz="4" w:space="0" w:color="auto"/>
              <w:left w:val="single" w:sz="4" w:space="0" w:color="auto"/>
              <w:bottom w:val="single" w:sz="4" w:space="0" w:color="auto"/>
              <w:right w:val="single" w:sz="4" w:space="0" w:color="auto"/>
            </w:tcBorders>
            <w:hideMark/>
          </w:tcPr>
          <w:p w:rsidR="002F1F7C" w:rsidRPr="00B4023C" w:rsidRDefault="002F1F7C" w:rsidP="00D0100E">
            <w:pPr>
              <w:pStyle w:val="a4"/>
              <w:numPr>
                <w:ilvl w:val="0"/>
                <w:numId w:val="1"/>
              </w:numPr>
              <w:spacing w:line="276" w:lineRule="auto"/>
              <w:jc w:val="center"/>
              <w:rPr>
                <w:rFonts w:ascii="Times New Roman" w:hAnsi="Times New Roman"/>
                <w:sz w:val="24"/>
                <w:szCs w:val="24"/>
              </w:rPr>
            </w:pPr>
            <w:r w:rsidRPr="00B4023C">
              <w:rPr>
                <w:rFonts w:ascii="Times New Roman" w:hAnsi="Times New Roman"/>
                <w:sz w:val="24"/>
                <w:szCs w:val="24"/>
                <w:lang w:val="en-US"/>
              </w:rPr>
              <w:t>General data</w:t>
            </w:r>
          </w:p>
        </w:tc>
      </w:tr>
      <w:tr w:rsidR="002F1F7C" w:rsidRPr="002F1F7C" w:rsidTr="00D0100E">
        <w:trPr>
          <w:trHeight w:val="599"/>
        </w:trPr>
        <w:tc>
          <w:tcPr>
            <w:tcW w:w="3828" w:type="dxa"/>
            <w:tcBorders>
              <w:top w:val="single" w:sz="4" w:space="0" w:color="auto"/>
              <w:left w:val="single" w:sz="4" w:space="0" w:color="auto"/>
              <w:bottom w:val="single" w:sz="4" w:space="0" w:color="auto"/>
              <w:right w:val="single" w:sz="4" w:space="0" w:color="auto"/>
            </w:tcBorders>
            <w:hideMark/>
          </w:tcPr>
          <w:p w:rsidR="002F1F7C" w:rsidRPr="00B4023C" w:rsidRDefault="002F1F7C" w:rsidP="00D0100E">
            <w:pPr>
              <w:pStyle w:val="a4"/>
              <w:spacing w:line="276" w:lineRule="auto"/>
              <w:rPr>
                <w:rFonts w:ascii="Times New Roman" w:hAnsi="Times New Roman"/>
                <w:sz w:val="24"/>
                <w:szCs w:val="24"/>
              </w:rPr>
            </w:pPr>
            <w:r w:rsidRPr="00B4023C">
              <w:rPr>
                <w:rFonts w:ascii="Times New Roman" w:hAnsi="Times New Roman"/>
                <w:sz w:val="24"/>
                <w:szCs w:val="24"/>
              </w:rPr>
              <w:t xml:space="preserve">1.1  </w:t>
            </w:r>
            <w:r w:rsidRPr="00B4023C">
              <w:rPr>
                <w:rFonts w:ascii="Times New Roman" w:hAnsi="Times New Roman"/>
                <w:sz w:val="24"/>
                <w:szCs w:val="24"/>
                <w:lang w:val="en-US"/>
              </w:rPr>
              <w:t>Issuer</w:t>
            </w:r>
            <w:r w:rsidRPr="00B4023C">
              <w:rPr>
                <w:rFonts w:ascii="Times New Roman" w:hAnsi="Times New Roman"/>
                <w:sz w:val="24"/>
                <w:szCs w:val="24"/>
              </w:rPr>
              <w:t>’</w:t>
            </w:r>
            <w:r w:rsidRPr="00B4023C">
              <w:rPr>
                <w:rFonts w:ascii="Times New Roman" w:hAnsi="Times New Roman"/>
                <w:sz w:val="24"/>
                <w:szCs w:val="24"/>
                <w:lang w:val="en-US"/>
              </w:rPr>
              <w:t>s full name</w:t>
            </w:r>
          </w:p>
        </w:tc>
        <w:tc>
          <w:tcPr>
            <w:tcW w:w="6378" w:type="dxa"/>
            <w:gridSpan w:val="3"/>
            <w:tcBorders>
              <w:top w:val="single" w:sz="4" w:space="0" w:color="auto"/>
              <w:left w:val="single" w:sz="4" w:space="0" w:color="auto"/>
              <w:bottom w:val="single" w:sz="4" w:space="0" w:color="auto"/>
              <w:right w:val="single" w:sz="4" w:space="0" w:color="auto"/>
            </w:tcBorders>
            <w:hideMark/>
          </w:tcPr>
          <w:p w:rsidR="002F1F7C" w:rsidRPr="00B4023C" w:rsidRDefault="002F1F7C" w:rsidP="00D0100E">
            <w:pPr>
              <w:pStyle w:val="a4"/>
              <w:spacing w:line="276" w:lineRule="auto"/>
              <w:rPr>
                <w:rFonts w:ascii="Times New Roman" w:hAnsi="Times New Roman"/>
                <w:sz w:val="24"/>
                <w:szCs w:val="24"/>
                <w:lang w:val="en-US"/>
              </w:rPr>
            </w:pPr>
            <w:r w:rsidRPr="00B4023C">
              <w:rPr>
                <w:rFonts w:ascii="Times New Roman" w:hAnsi="Times New Roman"/>
                <w:sz w:val="24"/>
                <w:szCs w:val="24"/>
                <w:lang w:val="en-US"/>
              </w:rPr>
              <w:t>Public joint-stock company of power industry  and electrification of Kuban</w:t>
            </w:r>
          </w:p>
        </w:tc>
      </w:tr>
      <w:tr w:rsidR="002F1F7C" w:rsidRPr="00B4023C" w:rsidTr="00D0100E">
        <w:tc>
          <w:tcPr>
            <w:tcW w:w="3828" w:type="dxa"/>
            <w:tcBorders>
              <w:top w:val="single" w:sz="4" w:space="0" w:color="auto"/>
              <w:left w:val="single" w:sz="4" w:space="0" w:color="auto"/>
              <w:bottom w:val="single" w:sz="4" w:space="0" w:color="auto"/>
              <w:right w:val="single" w:sz="4" w:space="0" w:color="auto"/>
            </w:tcBorders>
            <w:hideMark/>
          </w:tcPr>
          <w:p w:rsidR="002F1F7C" w:rsidRPr="00B4023C" w:rsidRDefault="002F1F7C" w:rsidP="00D0100E">
            <w:pPr>
              <w:pStyle w:val="a4"/>
              <w:spacing w:line="276" w:lineRule="auto"/>
              <w:rPr>
                <w:rFonts w:ascii="Times New Roman" w:hAnsi="Times New Roman"/>
                <w:sz w:val="24"/>
                <w:szCs w:val="24"/>
              </w:rPr>
            </w:pPr>
            <w:r w:rsidRPr="00B4023C">
              <w:rPr>
                <w:rFonts w:ascii="Times New Roman" w:hAnsi="Times New Roman"/>
                <w:sz w:val="24"/>
                <w:szCs w:val="24"/>
              </w:rPr>
              <w:t xml:space="preserve">1.2. </w:t>
            </w:r>
            <w:r w:rsidRPr="00B4023C">
              <w:rPr>
                <w:rFonts w:ascii="Times New Roman" w:hAnsi="Times New Roman"/>
                <w:sz w:val="24"/>
                <w:szCs w:val="24"/>
                <w:lang w:val="en-US"/>
              </w:rPr>
              <w:t>Issuer</w:t>
            </w:r>
            <w:r w:rsidRPr="00B4023C">
              <w:rPr>
                <w:rFonts w:ascii="Times New Roman" w:hAnsi="Times New Roman"/>
                <w:sz w:val="24"/>
                <w:szCs w:val="24"/>
              </w:rPr>
              <w:t>’</w:t>
            </w:r>
            <w:r w:rsidRPr="00B4023C">
              <w:rPr>
                <w:rFonts w:ascii="Times New Roman" w:hAnsi="Times New Roman"/>
                <w:sz w:val="24"/>
                <w:szCs w:val="24"/>
                <w:lang w:val="en-US"/>
              </w:rPr>
              <w:t>s short name</w:t>
            </w:r>
          </w:p>
        </w:tc>
        <w:tc>
          <w:tcPr>
            <w:tcW w:w="6378" w:type="dxa"/>
            <w:gridSpan w:val="3"/>
            <w:tcBorders>
              <w:top w:val="single" w:sz="4" w:space="0" w:color="auto"/>
              <w:left w:val="single" w:sz="4" w:space="0" w:color="auto"/>
              <w:bottom w:val="single" w:sz="4" w:space="0" w:color="auto"/>
              <w:right w:val="single" w:sz="4" w:space="0" w:color="auto"/>
            </w:tcBorders>
            <w:hideMark/>
          </w:tcPr>
          <w:p w:rsidR="002F1F7C" w:rsidRPr="00B4023C" w:rsidRDefault="002F1F7C" w:rsidP="00D0100E">
            <w:pPr>
              <w:pStyle w:val="a4"/>
              <w:spacing w:line="276" w:lineRule="auto"/>
              <w:rPr>
                <w:rFonts w:ascii="Times New Roman" w:hAnsi="Times New Roman"/>
                <w:sz w:val="24"/>
                <w:szCs w:val="24"/>
              </w:rPr>
            </w:pPr>
            <w:r w:rsidRPr="00B4023C">
              <w:rPr>
                <w:rFonts w:ascii="Times New Roman" w:hAnsi="Times New Roman"/>
                <w:sz w:val="24"/>
                <w:szCs w:val="24"/>
                <w:lang w:val="en-US"/>
              </w:rPr>
              <w:t>“Kubanenergo” PJSC</w:t>
            </w:r>
          </w:p>
        </w:tc>
      </w:tr>
      <w:tr w:rsidR="002F1F7C" w:rsidRPr="00B4023C" w:rsidTr="00D0100E">
        <w:tc>
          <w:tcPr>
            <w:tcW w:w="3828" w:type="dxa"/>
            <w:tcBorders>
              <w:top w:val="single" w:sz="4" w:space="0" w:color="auto"/>
              <w:left w:val="single" w:sz="4" w:space="0" w:color="auto"/>
              <w:bottom w:val="single" w:sz="4" w:space="0" w:color="auto"/>
              <w:right w:val="single" w:sz="4" w:space="0" w:color="auto"/>
            </w:tcBorders>
            <w:hideMark/>
          </w:tcPr>
          <w:p w:rsidR="002F1F7C" w:rsidRPr="00B4023C" w:rsidRDefault="002F1F7C" w:rsidP="00D0100E">
            <w:pPr>
              <w:pStyle w:val="a4"/>
              <w:spacing w:line="276" w:lineRule="auto"/>
              <w:rPr>
                <w:rFonts w:ascii="Times New Roman" w:hAnsi="Times New Roman"/>
                <w:sz w:val="24"/>
                <w:szCs w:val="24"/>
                <w:lang w:val="en-US"/>
              </w:rPr>
            </w:pPr>
            <w:r w:rsidRPr="00B4023C">
              <w:rPr>
                <w:rFonts w:ascii="Times New Roman" w:hAnsi="Times New Roman"/>
                <w:sz w:val="24"/>
                <w:szCs w:val="24"/>
              </w:rPr>
              <w:t xml:space="preserve">1.3. </w:t>
            </w:r>
            <w:r w:rsidRPr="00B4023C">
              <w:rPr>
                <w:rFonts w:ascii="Times New Roman" w:hAnsi="Times New Roman"/>
                <w:sz w:val="24"/>
                <w:szCs w:val="24"/>
                <w:lang w:val="en-US"/>
              </w:rPr>
              <w:t>Issuer’s location</w:t>
            </w:r>
          </w:p>
        </w:tc>
        <w:tc>
          <w:tcPr>
            <w:tcW w:w="6378" w:type="dxa"/>
            <w:gridSpan w:val="3"/>
            <w:tcBorders>
              <w:top w:val="single" w:sz="4" w:space="0" w:color="auto"/>
              <w:left w:val="single" w:sz="4" w:space="0" w:color="auto"/>
              <w:bottom w:val="single" w:sz="4" w:space="0" w:color="auto"/>
              <w:right w:val="single" w:sz="4" w:space="0" w:color="auto"/>
            </w:tcBorders>
            <w:hideMark/>
          </w:tcPr>
          <w:p w:rsidR="002F1F7C" w:rsidRPr="00B4023C" w:rsidRDefault="002F1F7C" w:rsidP="00D0100E">
            <w:pPr>
              <w:spacing w:line="276" w:lineRule="auto"/>
              <w:rPr>
                <w:sz w:val="24"/>
                <w:szCs w:val="24"/>
                <w:lang w:val="en-US" w:eastAsia="en-US"/>
              </w:rPr>
            </w:pPr>
            <w:r w:rsidRPr="00B4023C">
              <w:rPr>
                <w:sz w:val="24"/>
                <w:szCs w:val="24"/>
                <w:lang w:val="en-US" w:eastAsia="en-US"/>
              </w:rPr>
              <w:t>Krasnodar, Russian federation, 350033</w:t>
            </w:r>
          </w:p>
        </w:tc>
      </w:tr>
      <w:tr w:rsidR="002F1F7C" w:rsidRPr="00B4023C" w:rsidTr="00D0100E">
        <w:tc>
          <w:tcPr>
            <w:tcW w:w="3828" w:type="dxa"/>
            <w:tcBorders>
              <w:top w:val="single" w:sz="4" w:space="0" w:color="auto"/>
              <w:left w:val="single" w:sz="4" w:space="0" w:color="auto"/>
              <w:bottom w:val="single" w:sz="4" w:space="0" w:color="auto"/>
              <w:right w:val="single" w:sz="4" w:space="0" w:color="auto"/>
            </w:tcBorders>
            <w:hideMark/>
          </w:tcPr>
          <w:p w:rsidR="002F1F7C" w:rsidRPr="00B4023C" w:rsidRDefault="002F1F7C" w:rsidP="00D0100E">
            <w:pPr>
              <w:pStyle w:val="a4"/>
              <w:spacing w:line="276" w:lineRule="auto"/>
              <w:rPr>
                <w:rFonts w:ascii="Times New Roman" w:hAnsi="Times New Roman"/>
                <w:sz w:val="24"/>
                <w:szCs w:val="24"/>
                <w:lang w:val="en-US"/>
              </w:rPr>
            </w:pPr>
            <w:r w:rsidRPr="00B4023C">
              <w:rPr>
                <w:rFonts w:ascii="Times New Roman" w:hAnsi="Times New Roman"/>
                <w:sz w:val="24"/>
                <w:szCs w:val="24"/>
              </w:rPr>
              <w:t xml:space="preserve">1.4. </w:t>
            </w:r>
            <w:r w:rsidRPr="00B4023C">
              <w:rPr>
                <w:rFonts w:ascii="Times New Roman" w:hAnsi="Times New Roman"/>
                <w:sz w:val="24"/>
                <w:szCs w:val="24"/>
                <w:lang w:val="en-US"/>
              </w:rPr>
              <w:t>Issuer’s PSRN</w:t>
            </w:r>
          </w:p>
        </w:tc>
        <w:tc>
          <w:tcPr>
            <w:tcW w:w="6378" w:type="dxa"/>
            <w:gridSpan w:val="3"/>
            <w:tcBorders>
              <w:top w:val="single" w:sz="4" w:space="0" w:color="auto"/>
              <w:left w:val="single" w:sz="4" w:space="0" w:color="auto"/>
              <w:bottom w:val="single" w:sz="4" w:space="0" w:color="auto"/>
              <w:right w:val="single" w:sz="4" w:space="0" w:color="auto"/>
            </w:tcBorders>
            <w:hideMark/>
          </w:tcPr>
          <w:p w:rsidR="002F1F7C" w:rsidRPr="00B4023C" w:rsidRDefault="002F1F7C" w:rsidP="00D0100E">
            <w:pPr>
              <w:pStyle w:val="a4"/>
              <w:spacing w:line="276" w:lineRule="auto"/>
              <w:rPr>
                <w:rFonts w:ascii="Times New Roman" w:hAnsi="Times New Roman"/>
                <w:sz w:val="24"/>
                <w:szCs w:val="24"/>
              </w:rPr>
            </w:pPr>
            <w:r w:rsidRPr="00B4023C">
              <w:rPr>
                <w:rFonts w:ascii="Times New Roman" w:hAnsi="Times New Roman"/>
                <w:sz w:val="24"/>
                <w:szCs w:val="24"/>
              </w:rPr>
              <w:t>1022301427268</w:t>
            </w:r>
          </w:p>
        </w:tc>
      </w:tr>
      <w:tr w:rsidR="002F1F7C" w:rsidRPr="00B4023C" w:rsidTr="00D0100E">
        <w:tc>
          <w:tcPr>
            <w:tcW w:w="3828" w:type="dxa"/>
            <w:tcBorders>
              <w:top w:val="single" w:sz="4" w:space="0" w:color="auto"/>
              <w:left w:val="single" w:sz="4" w:space="0" w:color="auto"/>
              <w:bottom w:val="single" w:sz="4" w:space="0" w:color="auto"/>
              <w:right w:val="single" w:sz="4" w:space="0" w:color="auto"/>
            </w:tcBorders>
            <w:hideMark/>
          </w:tcPr>
          <w:p w:rsidR="002F1F7C" w:rsidRPr="00B4023C" w:rsidRDefault="002F1F7C" w:rsidP="00D0100E">
            <w:pPr>
              <w:pStyle w:val="a4"/>
              <w:spacing w:line="276" w:lineRule="auto"/>
              <w:rPr>
                <w:rFonts w:ascii="Times New Roman" w:hAnsi="Times New Roman"/>
                <w:sz w:val="24"/>
                <w:szCs w:val="24"/>
                <w:lang w:val="en-US"/>
              </w:rPr>
            </w:pPr>
            <w:r w:rsidRPr="00B4023C">
              <w:rPr>
                <w:rFonts w:ascii="Times New Roman" w:hAnsi="Times New Roman"/>
                <w:sz w:val="24"/>
                <w:szCs w:val="24"/>
              </w:rPr>
              <w:t xml:space="preserve">1.5. </w:t>
            </w:r>
            <w:r w:rsidRPr="00B4023C">
              <w:rPr>
                <w:rFonts w:ascii="Times New Roman" w:hAnsi="Times New Roman"/>
                <w:sz w:val="24"/>
                <w:szCs w:val="24"/>
                <w:lang w:val="en-US"/>
              </w:rPr>
              <w:t>Issuer’s TIN</w:t>
            </w:r>
          </w:p>
        </w:tc>
        <w:tc>
          <w:tcPr>
            <w:tcW w:w="6378" w:type="dxa"/>
            <w:gridSpan w:val="3"/>
            <w:tcBorders>
              <w:top w:val="single" w:sz="4" w:space="0" w:color="auto"/>
              <w:left w:val="single" w:sz="4" w:space="0" w:color="auto"/>
              <w:bottom w:val="single" w:sz="4" w:space="0" w:color="auto"/>
              <w:right w:val="single" w:sz="4" w:space="0" w:color="auto"/>
            </w:tcBorders>
            <w:hideMark/>
          </w:tcPr>
          <w:p w:rsidR="002F1F7C" w:rsidRPr="00B4023C" w:rsidRDefault="002F1F7C" w:rsidP="00D0100E">
            <w:pPr>
              <w:pStyle w:val="a4"/>
              <w:spacing w:line="276" w:lineRule="auto"/>
              <w:rPr>
                <w:rFonts w:ascii="Times New Roman" w:hAnsi="Times New Roman"/>
                <w:sz w:val="24"/>
                <w:szCs w:val="24"/>
              </w:rPr>
            </w:pPr>
            <w:r w:rsidRPr="00B4023C">
              <w:rPr>
                <w:rFonts w:ascii="Times New Roman" w:hAnsi="Times New Roman"/>
                <w:sz w:val="24"/>
                <w:szCs w:val="24"/>
              </w:rPr>
              <w:t>2309001660</w:t>
            </w:r>
          </w:p>
        </w:tc>
      </w:tr>
      <w:tr w:rsidR="002F1F7C" w:rsidRPr="00B4023C" w:rsidTr="00D0100E">
        <w:tc>
          <w:tcPr>
            <w:tcW w:w="3828" w:type="dxa"/>
            <w:tcBorders>
              <w:top w:val="single" w:sz="4" w:space="0" w:color="auto"/>
              <w:left w:val="single" w:sz="4" w:space="0" w:color="auto"/>
              <w:bottom w:val="single" w:sz="4" w:space="0" w:color="auto"/>
              <w:right w:val="single" w:sz="4" w:space="0" w:color="auto"/>
            </w:tcBorders>
            <w:hideMark/>
          </w:tcPr>
          <w:p w:rsidR="002F1F7C" w:rsidRPr="00B4023C" w:rsidRDefault="002F1F7C" w:rsidP="00D0100E">
            <w:pPr>
              <w:pStyle w:val="a4"/>
              <w:spacing w:line="276" w:lineRule="auto"/>
              <w:rPr>
                <w:rFonts w:ascii="Times New Roman" w:hAnsi="Times New Roman"/>
                <w:sz w:val="24"/>
                <w:szCs w:val="24"/>
                <w:lang w:val="en-US"/>
              </w:rPr>
            </w:pPr>
            <w:r w:rsidRPr="00B4023C">
              <w:rPr>
                <w:rFonts w:ascii="Times New Roman" w:hAnsi="Times New Roman"/>
                <w:sz w:val="24"/>
                <w:szCs w:val="24"/>
                <w:lang w:val="en-US"/>
              </w:rPr>
              <w:t>1.6. Issuer’s unique code assigned by registering authority</w:t>
            </w:r>
          </w:p>
        </w:tc>
        <w:tc>
          <w:tcPr>
            <w:tcW w:w="6378" w:type="dxa"/>
            <w:gridSpan w:val="3"/>
            <w:tcBorders>
              <w:top w:val="single" w:sz="4" w:space="0" w:color="auto"/>
              <w:left w:val="single" w:sz="4" w:space="0" w:color="auto"/>
              <w:bottom w:val="single" w:sz="4" w:space="0" w:color="auto"/>
              <w:right w:val="single" w:sz="4" w:space="0" w:color="auto"/>
            </w:tcBorders>
            <w:hideMark/>
          </w:tcPr>
          <w:p w:rsidR="002F1F7C" w:rsidRPr="00B4023C" w:rsidRDefault="002F1F7C" w:rsidP="00D0100E">
            <w:pPr>
              <w:pStyle w:val="a4"/>
              <w:spacing w:line="276" w:lineRule="auto"/>
              <w:rPr>
                <w:rFonts w:ascii="Times New Roman" w:hAnsi="Times New Roman"/>
                <w:sz w:val="24"/>
                <w:szCs w:val="24"/>
                <w:lang w:val="en-US"/>
              </w:rPr>
            </w:pPr>
            <w:r w:rsidRPr="00B4023C">
              <w:rPr>
                <w:rFonts w:ascii="Times New Roman" w:hAnsi="Times New Roman"/>
                <w:sz w:val="24"/>
                <w:szCs w:val="24"/>
              </w:rPr>
              <w:t>00063-</w:t>
            </w:r>
            <w:r w:rsidRPr="00B4023C">
              <w:rPr>
                <w:rFonts w:ascii="Times New Roman" w:hAnsi="Times New Roman"/>
                <w:sz w:val="24"/>
                <w:szCs w:val="24"/>
                <w:lang w:val="en-US"/>
              </w:rPr>
              <w:t>A</w:t>
            </w:r>
          </w:p>
        </w:tc>
      </w:tr>
      <w:tr w:rsidR="002F1F7C" w:rsidRPr="002F1F7C" w:rsidTr="00D0100E">
        <w:tc>
          <w:tcPr>
            <w:tcW w:w="3828" w:type="dxa"/>
            <w:tcBorders>
              <w:top w:val="single" w:sz="4" w:space="0" w:color="auto"/>
              <w:left w:val="single" w:sz="4" w:space="0" w:color="auto"/>
              <w:bottom w:val="single" w:sz="4" w:space="0" w:color="auto"/>
              <w:right w:val="single" w:sz="4" w:space="0" w:color="auto"/>
            </w:tcBorders>
            <w:hideMark/>
          </w:tcPr>
          <w:p w:rsidR="002F1F7C" w:rsidRPr="00B4023C" w:rsidRDefault="002F1F7C" w:rsidP="00D0100E">
            <w:pPr>
              <w:pStyle w:val="a4"/>
              <w:spacing w:line="276" w:lineRule="auto"/>
              <w:rPr>
                <w:rFonts w:ascii="Times New Roman" w:hAnsi="Times New Roman"/>
                <w:sz w:val="24"/>
                <w:szCs w:val="24"/>
                <w:lang w:val="en-US"/>
              </w:rPr>
            </w:pPr>
            <w:r w:rsidRPr="00B4023C">
              <w:rPr>
                <w:rFonts w:ascii="Times New Roman" w:hAnsi="Times New Roman"/>
                <w:sz w:val="24"/>
                <w:szCs w:val="24"/>
                <w:lang w:val="en-US"/>
              </w:rPr>
              <w:t>1.7. Web-page for disclosure of information</w:t>
            </w:r>
          </w:p>
        </w:tc>
        <w:tc>
          <w:tcPr>
            <w:tcW w:w="6378" w:type="dxa"/>
            <w:gridSpan w:val="3"/>
            <w:tcBorders>
              <w:top w:val="single" w:sz="4" w:space="0" w:color="auto"/>
              <w:left w:val="single" w:sz="4" w:space="0" w:color="auto"/>
              <w:bottom w:val="single" w:sz="4" w:space="0" w:color="auto"/>
              <w:right w:val="single" w:sz="4" w:space="0" w:color="auto"/>
            </w:tcBorders>
            <w:hideMark/>
          </w:tcPr>
          <w:p w:rsidR="002F1F7C" w:rsidRPr="00B4023C" w:rsidRDefault="002F1F7C" w:rsidP="00D0100E">
            <w:pPr>
              <w:spacing w:line="276" w:lineRule="auto"/>
              <w:rPr>
                <w:rStyle w:val="a3"/>
                <w:color w:val="auto"/>
                <w:sz w:val="24"/>
                <w:szCs w:val="24"/>
                <w:lang w:val="en-US"/>
              </w:rPr>
            </w:pPr>
            <w:r w:rsidRPr="00B4023C">
              <w:rPr>
                <w:sz w:val="24"/>
                <w:szCs w:val="24"/>
                <w:lang w:val="en-US" w:eastAsia="en-US"/>
              </w:rPr>
              <w:t>http://</w:t>
            </w:r>
            <w:hyperlink r:id="rId6" w:history="1">
              <w:r w:rsidRPr="00B4023C">
                <w:rPr>
                  <w:rStyle w:val="a3"/>
                  <w:color w:val="auto"/>
                  <w:sz w:val="24"/>
                  <w:szCs w:val="24"/>
                  <w:lang w:val="en-US" w:eastAsia="en-US"/>
                </w:rPr>
                <w:t>www.kubanenergo.ru</w:t>
              </w:r>
            </w:hyperlink>
          </w:p>
          <w:p w:rsidR="002F1F7C" w:rsidRPr="00B4023C" w:rsidRDefault="002F1F7C" w:rsidP="00D0100E">
            <w:pPr>
              <w:pStyle w:val="a4"/>
              <w:spacing w:line="276" w:lineRule="auto"/>
              <w:rPr>
                <w:rFonts w:ascii="Times New Roman" w:hAnsi="Times New Roman"/>
                <w:sz w:val="24"/>
                <w:szCs w:val="24"/>
                <w:lang w:val="en-US"/>
              </w:rPr>
            </w:pPr>
            <w:hyperlink r:id="rId7" w:history="1">
              <w:r w:rsidRPr="00B4023C">
                <w:rPr>
                  <w:rStyle w:val="a3"/>
                  <w:rFonts w:ascii="Times New Roman" w:hAnsi="Times New Roman"/>
                  <w:sz w:val="24"/>
                  <w:szCs w:val="24"/>
                  <w:lang w:val="en-US"/>
                </w:rPr>
                <w:t>http://www.e-disclosure.ru/portal/company.aspx?id=2827</w:t>
              </w:r>
            </w:hyperlink>
          </w:p>
        </w:tc>
      </w:tr>
      <w:tr w:rsidR="002F1F7C" w:rsidRPr="00B4023C" w:rsidTr="00D0100E">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F1F7C" w:rsidRPr="00B4023C" w:rsidRDefault="002F1F7C" w:rsidP="00D0100E">
            <w:pPr>
              <w:widowControl w:val="0"/>
              <w:shd w:val="clear" w:color="auto" w:fill="FFFFFF"/>
              <w:tabs>
                <w:tab w:val="left" w:pos="432"/>
              </w:tabs>
              <w:adjustRightInd w:val="0"/>
              <w:spacing w:line="360" w:lineRule="auto"/>
              <w:jc w:val="center"/>
              <w:rPr>
                <w:b/>
                <w:bCs/>
                <w:sz w:val="24"/>
                <w:szCs w:val="24"/>
                <w:lang w:val="en-US" w:eastAsia="en-US"/>
              </w:rPr>
            </w:pPr>
            <w:r w:rsidRPr="00B4023C">
              <w:rPr>
                <w:sz w:val="24"/>
                <w:szCs w:val="24"/>
                <w:lang w:val="en-US" w:eastAsia="en-US"/>
              </w:rPr>
              <w:t>2. Statement content</w:t>
            </w:r>
          </w:p>
        </w:tc>
      </w:tr>
      <w:tr w:rsidR="002F1F7C" w:rsidRPr="002F1F7C" w:rsidTr="00D0100E">
        <w:trPr>
          <w:trHeight w:val="695"/>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F1F7C" w:rsidRPr="00B4023C" w:rsidRDefault="002F1F7C" w:rsidP="002F1F7C">
            <w:pPr>
              <w:tabs>
                <w:tab w:val="left" w:pos="142"/>
                <w:tab w:val="left" w:pos="9465"/>
              </w:tabs>
              <w:spacing w:line="276" w:lineRule="auto"/>
              <w:ind w:left="142" w:right="189"/>
              <w:jc w:val="both"/>
              <w:rPr>
                <w:b/>
                <w:sz w:val="24"/>
                <w:szCs w:val="24"/>
                <w:lang w:val="en-US" w:eastAsia="en-US"/>
              </w:rPr>
            </w:pPr>
            <w:r w:rsidRPr="00B4023C">
              <w:rPr>
                <w:sz w:val="24"/>
                <w:szCs w:val="24"/>
                <w:lang w:val="en-US" w:eastAsia="en-US"/>
              </w:rPr>
              <w:t xml:space="preserve">2.1. Date of adopting by the chairman of BoD a decision to hold meeting of board of directors of the issuer: </w:t>
            </w:r>
            <w:r>
              <w:rPr>
                <w:b/>
                <w:sz w:val="24"/>
                <w:szCs w:val="24"/>
                <w:lang w:val="en-US" w:eastAsia="en-US"/>
              </w:rPr>
              <w:t>10 May</w:t>
            </w:r>
            <w:r w:rsidRPr="00B4023C">
              <w:rPr>
                <w:sz w:val="24"/>
                <w:szCs w:val="24"/>
                <w:lang w:val="en-US" w:eastAsia="en-US"/>
              </w:rPr>
              <w:t xml:space="preserve"> </w:t>
            </w:r>
            <w:r w:rsidRPr="00B4023C">
              <w:rPr>
                <w:b/>
                <w:sz w:val="24"/>
                <w:szCs w:val="24"/>
                <w:lang w:val="en-US" w:eastAsia="en-US"/>
              </w:rPr>
              <w:t>2016</w:t>
            </w:r>
          </w:p>
        </w:tc>
      </w:tr>
      <w:tr w:rsidR="002F1F7C" w:rsidRPr="002F1F7C" w:rsidTr="00D0100E">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F1F7C" w:rsidRPr="00B4023C" w:rsidRDefault="002F1F7C" w:rsidP="002F1F7C">
            <w:pPr>
              <w:tabs>
                <w:tab w:val="left" w:pos="142"/>
                <w:tab w:val="left" w:pos="9465"/>
              </w:tabs>
              <w:spacing w:line="276" w:lineRule="auto"/>
              <w:ind w:left="142" w:right="189"/>
              <w:rPr>
                <w:sz w:val="24"/>
                <w:szCs w:val="24"/>
                <w:lang w:val="en-US" w:eastAsia="en-US"/>
              </w:rPr>
            </w:pPr>
            <w:r w:rsidRPr="00B4023C">
              <w:rPr>
                <w:sz w:val="24"/>
                <w:szCs w:val="24"/>
                <w:lang w:val="en-US" w:eastAsia="en-US"/>
              </w:rPr>
              <w:t>2.2. Date of holding the meeting of issuer’s BoD:</w:t>
            </w:r>
            <w:r w:rsidRPr="00B4023C">
              <w:rPr>
                <w:b/>
                <w:sz w:val="24"/>
                <w:szCs w:val="24"/>
                <w:lang w:val="en-US" w:eastAsia="en-US"/>
              </w:rPr>
              <w:t xml:space="preserve"> </w:t>
            </w:r>
            <w:r>
              <w:rPr>
                <w:b/>
                <w:sz w:val="24"/>
                <w:szCs w:val="24"/>
                <w:lang w:val="en-US" w:eastAsia="en-US"/>
              </w:rPr>
              <w:t>17 May</w:t>
            </w:r>
            <w:r w:rsidRPr="00B4023C">
              <w:rPr>
                <w:b/>
                <w:sz w:val="24"/>
                <w:szCs w:val="24"/>
                <w:lang w:val="en-US" w:eastAsia="en-US"/>
              </w:rPr>
              <w:t xml:space="preserve"> 2016</w:t>
            </w:r>
          </w:p>
        </w:tc>
      </w:tr>
      <w:tr w:rsidR="002F1F7C" w:rsidRPr="002F1F7C" w:rsidTr="00D0100E">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F1F7C" w:rsidRPr="00B4023C" w:rsidRDefault="002F1F7C" w:rsidP="00D0100E">
            <w:pPr>
              <w:tabs>
                <w:tab w:val="left" w:pos="142"/>
                <w:tab w:val="left" w:pos="9465"/>
              </w:tabs>
              <w:spacing w:line="276" w:lineRule="auto"/>
              <w:ind w:left="142" w:right="189"/>
              <w:rPr>
                <w:sz w:val="24"/>
                <w:szCs w:val="24"/>
                <w:lang w:val="en-US" w:eastAsia="en-US"/>
              </w:rPr>
            </w:pPr>
            <w:r w:rsidRPr="00B4023C">
              <w:rPr>
                <w:sz w:val="24"/>
                <w:szCs w:val="24"/>
                <w:lang w:val="en-US" w:eastAsia="en-US"/>
              </w:rPr>
              <w:t>2.3. Agenda of meeting of issuer’s board of directors:</w:t>
            </w:r>
          </w:p>
          <w:p w:rsidR="002F1F7C" w:rsidRDefault="002F1F7C" w:rsidP="002F1F7C">
            <w:pPr>
              <w:tabs>
                <w:tab w:val="left" w:pos="945"/>
              </w:tabs>
              <w:autoSpaceDE/>
              <w:spacing w:line="276" w:lineRule="auto"/>
              <w:jc w:val="both"/>
              <w:rPr>
                <w:color w:val="000000"/>
                <w:sz w:val="24"/>
                <w:szCs w:val="24"/>
                <w:lang w:val="en-US"/>
              </w:rPr>
            </w:pPr>
            <w:r>
              <w:rPr>
                <w:color w:val="000000"/>
                <w:sz w:val="24"/>
                <w:szCs w:val="24"/>
                <w:lang w:val="en-US"/>
              </w:rPr>
              <w:t xml:space="preserve">1. </w:t>
            </w:r>
            <w:r>
              <w:rPr>
                <w:color w:val="000000"/>
                <w:sz w:val="24"/>
                <w:szCs w:val="24"/>
                <w:lang w:val="en-US"/>
              </w:rPr>
              <w:t>On s</w:t>
            </w:r>
            <w:r>
              <w:rPr>
                <w:color w:val="000000"/>
                <w:sz w:val="24"/>
                <w:szCs w:val="24"/>
                <w:lang w:val="en-US"/>
              </w:rPr>
              <w:t>electing agenda items for the annual meeting of Shareholders of the Company.</w:t>
            </w:r>
          </w:p>
          <w:p w:rsidR="002F1F7C" w:rsidRDefault="002F1F7C" w:rsidP="002F1F7C">
            <w:pPr>
              <w:tabs>
                <w:tab w:val="left" w:pos="945"/>
              </w:tabs>
              <w:autoSpaceDE/>
              <w:spacing w:line="276" w:lineRule="auto"/>
              <w:jc w:val="both"/>
              <w:rPr>
                <w:color w:val="000000"/>
                <w:sz w:val="24"/>
                <w:szCs w:val="24"/>
                <w:lang w:val="en-US"/>
              </w:rPr>
            </w:pPr>
            <w:r>
              <w:rPr>
                <w:color w:val="000000"/>
                <w:sz w:val="24"/>
                <w:szCs w:val="24"/>
                <w:lang w:val="en-US"/>
              </w:rPr>
              <w:t>2. O</w:t>
            </w:r>
            <w:r>
              <w:rPr>
                <w:color w:val="000000"/>
                <w:sz w:val="24"/>
                <w:szCs w:val="24"/>
                <w:lang w:val="en-US"/>
              </w:rPr>
              <w:t xml:space="preserve"> </w:t>
            </w:r>
            <w:r>
              <w:rPr>
                <w:color w:val="000000"/>
                <w:sz w:val="24"/>
                <w:szCs w:val="24"/>
                <w:lang w:val="en-US"/>
              </w:rPr>
              <w:t xml:space="preserve">On </w:t>
            </w:r>
            <w:r>
              <w:rPr>
                <w:color w:val="000000"/>
                <w:sz w:val="24"/>
                <w:szCs w:val="24"/>
                <w:lang w:val="en-US"/>
              </w:rPr>
              <w:t>t</w:t>
            </w:r>
            <w:r>
              <w:rPr>
                <w:color w:val="000000"/>
                <w:sz w:val="24"/>
                <w:szCs w:val="24"/>
                <w:lang w:val="en-US"/>
              </w:rPr>
              <w:t>aking into consideration the annual accounting report for 2015 including recommendation on allocation of profits and losses of the Company by the results of 2015 fiscal year.</w:t>
            </w:r>
          </w:p>
          <w:p w:rsidR="002F1F7C" w:rsidRDefault="002F1F7C" w:rsidP="002F1F7C">
            <w:pPr>
              <w:tabs>
                <w:tab w:val="left" w:pos="945"/>
              </w:tabs>
              <w:autoSpaceDE/>
              <w:spacing w:line="276" w:lineRule="auto"/>
              <w:jc w:val="both"/>
              <w:rPr>
                <w:sz w:val="24"/>
                <w:szCs w:val="24"/>
                <w:lang w:val="en-US"/>
              </w:rPr>
            </w:pPr>
            <w:r>
              <w:rPr>
                <w:sz w:val="24"/>
                <w:szCs w:val="24"/>
                <w:lang w:val="en-US"/>
              </w:rPr>
              <w:t xml:space="preserve">4. </w:t>
            </w:r>
            <w:r>
              <w:rPr>
                <w:color w:val="000000"/>
                <w:sz w:val="24"/>
                <w:szCs w:val="24"/>
                <w:lang w:val="en-US"/>
              </w:rPr>
              <w:t xml:space="preserve">On </w:t>
            </w:r>
            <w:r>
              <w:rPr>
                <w:color w:val="000000"/>
                <w:sz w:val="24"/>
                <w:szCs w:val="24"/>
                <w:lang w:val="en-US"/>
              </w:rPr>
              <w:t>r</w:t>
            </w:r>
            <w:r>
              <w:rPr>
                <w:sz w:val="24"/>
                <w:szCs w:val="24"/>
                <w:lang w:val="en-US"/>
              </w:rPr>
              <w:t xml:space="preserve">ecommendations on dividend amount on shares, </w:t>
            </w:r>
            <w:proofErr w:type="gramStart"/>
            <w:r>
              <w:rPr>
                <w:sz w:val="24"/>
                <w:szCs w:val="24"/>
                <w:lang w:val="en-US"/>
              </w:rPr>
              <w:t>its</w:t>
            </w:r>
            <w:proofErr w:type="gramEnd"/>
            <w:r>
              <w:rPr>
                <w:sz w:val="24"/>
                <w:szCs w:val="24"/>
                <w:lang w:val="en-US"/>
              </w:rPr>
              <w:t xml:space="preserve"> paying by the results of 2014 and in terms of setting the date on which persons who are entitled to receive dividends are defined.</w:t>
            </w:r>
          </w:p>
          <w:p w:rsidR="002F1F7C" w:rsidRDefault="002F1F7C" w:rsidP="002F1F7C">
            <w:pPr>
              <w:tabs>
                <w:tab w:val="left" w:pos="945"/>
              </w:tabs>
              <w:autoSpaceDE/>
              <w:spacing w:line="276" w:lineRule="auto"/>
              <w:jc w:val="both"/>
              <w:rPr>
                <w:color w:val="000000"/>
                <w:sz w:val="24"/>
                <w:szCs w:val="24"/>
                <w:lang w:val="en-US"/>
              </w:rPr>
            </w:pPr>
            <w:r>
              <w:rPr>
                <w:color w:val="000000"/>
                <w:sz w:val="24"/>
                <w:szCs w:val="24"/>
                <w:lang w:val="en-US"/>
              </w:rPr>
              <w:t xml:space="preserve">5. On </w:t>
            </w:r>
            <w:r>
              <w:rPr>
                <w:color w:val="000000"/>
                <w:sz w:val="24"/>
                <w:szCs w:val="24"/>
                <w:lang w:val="en-US"/>
              </w:rPr>
              <w:t>c</w:t>
            </w:r>
            <w:r>
              <w:rPr>
                <w:color w:val="000000"/>
                <w:sz w:val="24"/>
                <w:szCs w:val="24"/>
                <w:lang w:val="en-US"/>
              </w:rPr>
              <w:t>onsideration of Company’s auditor candidate.</w:t>
            </w:r>
          </w:p>
          <w:p w:rsidR="002F1F7C" w:rsidRDefault="002F1F7C" w:rsidP="002F1F7C">
            <w:pPr>
              <w:tabs>
                <w:tab w:val="left" w:pos="945"/>
              </w:tabs>
              <w:autoSpaceDE/>
              <w:spacing w:line="276" w:lineRule="auto"/>
              <w:jc w:val="both"/>
              <w:rPr>
                <w:color w:val="000000"/>
                <w:sz w:val="24"/>
                <w:szCs w:val="24"/>
                <w:lang w:val="en-US"/>
              </w:rPr>
            </w:pPr>
            <w:r>
              <w:rPr>
                <w:color w:val="000000"/>
                <w:sz w:val="24"/>
                <w:szCs w:val="24"/>
                <w:lang w:val="en-US"/>
              </w:rPr>
              <w:t xml:space="preserve">6. On </w:t>
            </w:r>
            <w:r>
              <w:rPr>
                <w:color w:val="000000"/>
                <w:sz w:val="24"/>
                <w:szCs w:val="24"/>
                <w:lang w:val="en-US"/>
              </w:rPr>
              <w:t>d</w:t>
            </w:r>
            <w:r>
              <w:rPr>
                <w:color w:val="000000"/>
                <w:sz w:val="24"/>
                <w:szCs w:val="24"/>
                <w:lang w:val="en-US"/>
              </w:rPr>
              <w:t>etermining the type (-s) of preferred shares whose owners are entitled to vote on agenda items of Company’s annual meeting of shareholders.</w:t>
            </w:r>
          </w:p>
          <w:p w:rsidR="002F1F7C" w:rsidRDefault="002F1F7C" w:rsidP="002F1F7C">
            <w:pPr>
              <w:tabs>
                <w:tab w:val="left" w:pos="945"/>
              </w:tabs>
              <w:autoSpaceDE/>
              <w:spacing w:line="276" w:lineRule="auto"/>
              <w:jc w:val="both"/>
              <w:rPr>
                <w:color w:val="000000"/>
                <w:sz w:val="24"/>
                <w:szCs w:val="24"/>
                <w:lang w:val="en-US"/>
              </w:rPr>
            </w:pPr>
            <w:r>
              <w:rPr>
                <w:color w:val="000000"/>
                <w:sz w:val="24"/>
                <w:szCs w:val="24"/>
                <w:lang w:val="en-US"/>
              </w:rPr>
              <w:t>7. D</w:t>
            </w:r>
            <w:r>
              <w:rPr>
                <w:color w:val="000000"/>
                <w:sz w:val="24"/>
                <w:szCs w:val="24"/>
                <w:lang w:val="en-US"/>
              </w:rPr>
              <w:t xml:space="preserve"> </w:t>
            </w:r>
            <w:r>
              <w:rPr>
                <w:color w:val="000000"/>
                <w:sz w:val="24"/>
                <w:szCs w:val="24"/>
                <w:lang w:val="en-US"/>
              </w:rPr>
              <w:t xml:space="preserve">On </w:t>
            </w:r>
            <w:r>
              <w:rPr>
                <w:color w:val="000000"/>
                <w:sz w:val="24"/>
                <w:szCs w:val="24"/>
                <w:lang w:val="en-US"/>
              </w:rPr>
              <w:t>d</w:t>
            </w:r>
            <w:r>
              <w:rPr>
                <w:color w:val="000000"/>
                <w:sz w:val="24"/>
                <w:szCs w:val="24"/>
                <w:lang w:val="en-US"/>
              </w:rPr>
              <w:t>etermining the information list (materials) provided to Company’s shareholders during the preparation of Annual General Meeting of Shareholders of the Company and receiving of specified information by shareholders.</w:t>
            </w:r>
          </w:p>
          <w:p w:rsidR="002F1F7C" w:rsidRDefault="002F1F7C" w:rsidP="002F1F7C">
            <w:pPr>
              <w:tabs>
                <w:tab w:val="left" w:pos="945"/>
              </w:tabs>
              <w:autoSpaceDE/>
              <w:spacing w:line="276" w:lineRule="auto"/>
              <w:jc w:val="both"/>
              <w:rPr>
                <w:color w:val="000000"/>
                <w:sz w:val="24"/>
                <w:szCs w:val="24"/>
                <w:lang w:val="en-US"/>
              </w:rPr>
            </w:pPr>
            <w:r>
              <w:rPr>
                <w:color w:val="000000"/>
                <w:sz w:val="24"/>
                <w:szCs w:val="24"/>
                <w:lang w:val="en-US"/>
              </w:rPr>
              <w:t xml:space="preserve">8. On </w:t>
            </w:r>
            <w:r>
              <w:rPr>
                <w:color w:val="000000"/>
                <w:sz w:val="24"/>
                <w:szCs w:val="24"/>
                <w:lang w:val="en-US"/>
              </w:rPr>
              <w:t>a</w:t>
            </w:r>
            <w:r>
              <w:rPr>
                <w:color w:val="000000"/>
                <w:sz w:val="24"/>
                <w:szCs w:val="24"/>
                <w:lang w:val="en-US"/>
              </w:rPr>
              <w:t>pproving the form and text of bulletins for voting at annual general meeting of shareholders of the Company.</w:t>
            </w:r>
          </w:p>
          <w:p w:rsidR="002F1F7C" w:rsidRDefault="002F1F7C" w:rsidP="002F1F7C">
            <w:pPr>
              <w:tabs>
                <w:tab w:val="left" w:pos="945"/>
              </w:tabs>
              <w:autoSpaceDE/>
              <w:spacing w:line="276" w:lineRule="auto"/>
              <w:jc w:val="both"/>
              <w:rPr>
                <w:sz w:val="24"/>
                <w:szCs w:val="24"/>
                <w:lang w:val="en-US"/>
              </w:rPr>
            </w:pPr>
            <w:r>
              <w:rPr>
                <w:sz w:val="24"/>
                <w:szCs w:val="24"/>
                <w:lang w:val="en-US"/>
              </w:rPr>
              <w:t xml:space="preserve">9. </w:t>
            </w:r>
            <w:r>
              <w:rPr>
                <w:color w:val="000000"/>
                <w:sz w:val="24"/>
                <w:szCs w:val="24"/>
                <w:lang w:val="en-US"/>
              </w:rPr>
              <w:t xml:space="preserve">On </w:t>
            </w:r>
            <w:r>
              <w:rPr>
                <w:color w:val="000000"/>
                <w:sz w:val="24"/>
                <w:szCs w:val="24"/>
                <w:lang w:val="en-US"/>
              </w:rPr>
              <w:t>setting the d</w:t>
            </w:r>
            <w:r>
              <w:rPr>
                <w:sz w:val="24"/>
                <w:szCs w:val="24"/>
                <w:lang w:val="en-US"/>
              </w:rPr>
              <w:t>eadline of sending the voting bulletins to persons entitled to participate in annual general meeting of shareholders of the Company, specifying the address for sending the voting bulletins, deadline for receiving the filled-in voting bulletins.</w:t>
            </w:r>
          </w:p>
          <w:p w:rsidR="002F1F7C" w:rsidRDefault="002F1F7C" w:rsidP="002F1F7C">
            <w:pPr>
              <w:tabs>
                <w:tab w:val="left" w:pos="945"/>
              </w:tabs>
              <w:autoSpaceDE/>
              <w:spacing w:line="276" w:lineRule="auto"/>
              <w:jc w:val="both"/>
              <w:rPr>
                <w:sz w:val="24"/>
                <w:szCs w:val="24"/>
                <w:lang w:val="en-US"/>
              </w:rPr>
            </w:pPr>
            <w:r>
              <w:rPr>
                <w:sz w:val="24"/>
                <w:szCs w:val="24"/>
                <w:lang w:val="en-US"/>
              </w:rPr>
              <w:t xml:space="preserve">10. </w:t>
            </w:r>
            <w:r>
              <w:rPr>
                <w:color w:val="000000"/>
                <w:sz w:val="24"/>
                <w:szCs w:val="24"/>
                <w:lang w:val="en-US"/>
              </w:rPr>
              <w:t xml:space="preserve">On </w:t>
            </w:r>
            <w:r>
              <w:rPr>
                <w:color w:val="000000"/>
                <w:sz w:val="24"/>
                <w:szCs w:val="24"/>
                <w:lang w:val="en-US"/>
              </w:rPr>
              <w:t>d</w:t>
            </w:r>
            <w:r>
              <w:rPr>
                <w:sz w:val="24"/>
                <w:szCs w:val="24"/>
                <w:lang w:val="en-US"/>
              </w:rPr>
              <w:t>etermining the procedure of informing shareholders on holding the annual general meeting of shareholders of the Company, including approving the form and text of message.</w:t>
            </w:r>
          </w:p>
          <w:p w:rsidR="002F1F7C" w:rsidRDefault="002F1F7C" w:rsidP="002F1F7C">
            <w:pPr>
              <w:tabs>
                <w:tab w:val="left" w:pos="945"/>
              </w:tabs>
              <w:autoSpaceDE/>
              <w:spacing w:line="276" w:lineRule="auto"/>
              <w:jc w:val="both"/>
              <w:rPr>
                <w:color w:val="000000"/>
                <w:sz w:val="24"/>
                <w:szCs w:val="24"/>
                <w:lang w:val="en-US"/>
              </w:rPr>
            </w:pPr>
            <w:r>
              <w:rPr>
                <w:color w:val="000000"/>
                <w:sz w:val="24"/>
                <w:szCs w:val="24"/>
                <w:lang w:val="en-US"/>
              </w:rPr>
              <w:t xml:space="preserve">11. On </w:t>
            </w:r>
            <w:r>
              <w:rPr>
                <w:color w:val="000000"/>
                <w:sz w:val="24"/>
                <w:szCs w:val="24"/>
                <w:lang w:val="en-US"/>
              </w:rPr>
              <w:t>e</w:t>
            </w:r>
            <w:r>
              <w:rPr>
                <w:color w:val="000000"/>
                <w:sz w:val="24"/>
                <w:szCs w:val="24"/>
                <w:lang w:val="en-US"/>
              </w:rPr>
              <w:t>lecting secretary of annual general meeting of shareholders of the Company.</w:t>
            </w:r>
          </w:p>
          <w:p w:rsidR="002F1F7C" w:rsidRDefault="002F1F7C" w:rsidP="002F1F7C">
            <w:pPr>
              <w:tabs>
                <w:tab w:val="left" w:pos="945"/>
              </w:tabs>
              <w:autoSpaceDE/>
              <w:spacing w:line="276" w:lineRule="auto"/>
              <w:jc w:val="both"/>
              <w:rPr>
                <w:color w:val="000000"/>
                <w:sz w:val="24"/>
                <w:szCs w:val="24"/>
                <w:lang w:val="en-US"/>
              </w:rPr>
            </w:pPr>
            <w:r>
              <w:rPr>
                <w:color w:val="000000"/>
                <w:sz w:val="24"/>
                <w:szCs w:val="24"/>
                <w:lang w:val="en-US"/>
              </w:rPr>
              <w:t xml:space="preserve">12. On </w:t>
            </w:r>
            <w:r>
              <w:rPr>
                <w:color w:val="000000"/>
                <w:sz w:val="24"/>
                <w:szCs w:val="24"/>
                <w:lang w:val="en-US"/>
              </w:rPr>
              <w:t>a</w:t>
            </w:r>
            <w:r>
              <w:rPr>
                <w:color w:val="000000"/>
                <w:sz w:val="24"/>
                <w:szCs w:val="24"/>
                <w:lang w:val="en-US"/>
              </w:rPr>
              <w:t>pproving cost estimate connected with preparation and holding of annual general meeting of shareholders of the Company.</w:t>
            </w:r>
          </w:p>
          <w:p w:rsidR="002F1F7C" w:rsidRDefault="002F1F7C" w:rsidP="002F1F7C">
            <w:pPr>
              <w:tabs>
                <w:tab w:val="left" w:pos="945"/>
              </w:tabs>
              <w:autoSpaceDE/>
              <w:spacing w:line="276" w:lineRule="auto"/>
              <w:jc w:val="both"/>
              <w:rPr>
                <w:color w:val="000000"/>
                <w:sz w:val="24"/>
                <w:szCs w:val="24"/>
                <w:lang w:val="en-US"/>
              </w:rPr>
            </w:pPr>
            <w:r>
              <w:rPr>
                <w:color w:val="000000"/>
                <w:sz w:val="24"/>
                <w:szCs w:val="24"/>
                <w:lang w:val="en-US"/>
              </w:rPr>
              <w:t xml:space="preserve">13. On </w:t>
            </w:r>
            <w:r>
              <w:rPr>
                <w:color w:val="000000"/>
                <w:sz w:val="24"/>
                <w:szCs w:val="24"/>
                <w:lang w:val="en-US"/>
              </w:rPr>
              <w:t>a</w:t>
            </w:r>
            <w:r>
              <w:rPr>
                <w:color w:val="000000"/>
                <w:sz w:val="24"/>
                <w:szCs w:val="24"/>
                <w:lang w:val="en-US"/>
              </w:rPr>
              <w:t>pproving terms of Contract with registrar of the Company.</w:t>
            </w:r>
          </w:p>
          <w:p w:rsidR="002F1F7C" w:rsidRDefault="002F1F7C" w:rsidP="002F1F7C">
            <w:pPr>
              <w:tabs>
                <w:tab w:val="left" w:pos="945"/>
              </w:tabs>
              <w:autoSpaceDE/>
              <w:spacing w:line="276" w:lineRule="auto"/>
              <w:jc w:val="both"/>
              <w:rPr>
                <w:color w:val="000000"/>
                <w:sz w:val="24"/>
                <w:szCs w:val="24"/>
                <w:lang w:val="en-US"/>
              </w:rPr>
            </w:pPr>
            <w:r>
              <w:rPr>
                <w:color w:val="000000"/>
                <w:sz w:val="24"/>
                <w:szCs w:val="24"/>
                <w:lang w:val="en-US"/>
              </w:rPr>
              <w:t xml:space="preserve">14. On </w:t>
            </w:r>
            <w:r>
              <w:rPr>
                <w:color w:val="000000"/>
                <w:sz w:val="24"/>
                <w:szCs w:val="24"/>
                <w:lang w:val="en-US"/>
              </w:rPr>
              <w:t>c</w:t>
            </w:r>
            <w:r>
              <w:rPr>
                <w:color w:val="000000"/>
                <w:sz w:val="24"/>
                <w:szCs w:val="24"/>
                <w:lang w:val="en-US"/>
              </w:rPr>
              <w:t>onsideration of the project of interna</w:t>
            </w:r>
            <w:bookmarkStart w:id="0" w:name="_GoBack"/>
            <w:bookmarkEnd w:id="0"/>
            <w:r>
              <w:rPr>
                <w:color w:val="000000"/>
                <w:sz w:val="24"/>
                <w:szCs w:val="24"/>
                <w:lang w:val="en-US"/>
              </w:rPr>
              <w:t>l document of the Company: redrafted Regulation on Company’s BoD.</w:t>
            </w:r>
          </w:p>
          <w:p w:rsidR="002F1F7C" w:rsidRPr="00B4023C" w:rsidRDefault="002F1F7C" w:rsidP="00D0100E">
            <w:pPr>
              <w:tabs>
                <w:tab w:val="left" w:pos="945"/>
              </w:tabs>
              <w:autoSpaceDE/>
              <w:spacing w:line="276" w:lineRule="auto"/>
              <w:jc w:val="both"/>
              <w:rPr>
                <w:color w:val="000000"/>
                <w:sz w:val="24"/>
                <w:szCs w:val="24"/>
                <w:lang w:val="en-US" w:eastAsia="en-US"/>
              </w:rPr>
            </w:pPr>
          </w:p>
        </w:tc>
      </w:tr>
      <w:tr w:rsidR="002F1F7C" w:rsidRPr="00B4023C" w:rsidTr="00D0100E">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F1F7C" w:rsidRPr="00B4023C" w:rsidRDefault="002F1F7C" w:rsidP="00D0100E">
            <w:pPr>
              <w:tabs>
                <w:tab w:val="left" w:pos="142"/>
                <w:tab w:val="left" w:pos="9465"/>
              </w:tabs>
              <w:spacing w:line="276" w:lineRule="auto"/>
              <w:ind w:left="142" w:right="189"/>
              <w:jc w:val="center"/>
              <w:rPr>
                <w:sz w:val="24"/>
                <w:szCs w:val="24"/>
                <w:lang w:val="en-US" w:eastAsia="en-US"/>
              </w:rPr>
            </w:pPr>
            <w:r w:rsidRPr="00B4023C">
              <w:rPr>
                <w:sz w:val="24"/>
                <w:szCs w:val="24"/>
                <w:lang w:val="en-US" w:eastAsia="en-US"/>
              </w:rPr>
              <w:t xml:space="preserve">3. Signature </w:t>
            </w:r>
          </w:p>
        </w:tc>
      </w:tr>
      <w:tr w:rsidR="002F1F7C" w:rsidRPr="00B4023C" w:rsidTr="00D0100E">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2F1F7C" w:rsidRPr="00B4023C" w:rsidRDefault="002F1F7C" w:rsidP="00D0100E">
            <w:pPr>
              <w:pStyle w:val="Default"/>
              <w:rPr>
                <w:lang w:val="en-US"/>
              </w:rPr>
            </w:pPr>
            <w:r w:rsidRPr="00B4023C">
              <w:rPr>
                <w:lang w:val="en-US"/>
              </w:rPr>
              <w:lastRenderedPageBreak/>
              <w:t>3.1 Head of corporate governance and investor relations department (by power of attorney No. 119/10-2849</w:t>
            </w:r>
          </w:p>
          <w:p w:rsidR="002F1F7C" w:rsidRPr="00B4023C" w:rsidRDefault="002F1F7C" w:rsidP="00D0100E">
            <w:pPr>
              <w:spacing w:line="276" w:lineRule="auto"/>
              <w:ind w:left="57"/>
              <w:rPr>
                <w:sz w:val="24"/>
                <w:szCs w:val="24"/>
                <w:lang w:val="en-US" w:eastAsia="en-US"/>
              </w:rPr>
            </w:pPr>
            <w:r w:rsidRPr="00B4023C">
              <w:rPr>
                <w:sz w:val="24"/>
                <w:szCs w:val="24"/>
                <w:lang w:val="en-US" w:eastAsia="en-US"/>
              </w:rPr>
              <w:t>dated 17.03.2016)</w:t>
            </w:r>
          </w:p>
          <w:p w:rsidR="002F1F7C" w:rsidRPr="00B4023C" w:rsidRDefault="002F1F7C" w:rsidP="00D0100E">
            <w:pPr>
              <w:spacing w:line="276" w:lineRule="auto"/>
              <w:ind w:left="57"/>
              <w:rPr>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tcPr>
          <w:p w:rsidR="002F1F7C" w:rsidRPr="00B4023C" w:rsidRDefault="002F1F7C" w:rsidP="00D0100E">
            <w:pPr>
              <w:spacing w:line="276" w:lineRule="auto"/>
              <w:jc w:val="center"/>
              <w:rPr>
                <w:sz w:val="24"/>
                <w:szCs w:val="24"/>
                <w:lang w:val="en-US" w:eastAsia="en-US"/>
              </w:rPr>
            </w:pPr>
            <w:r w:rsidRPr="00B4023C">
              <w:rPr>
                <w:sz w:val="24"/>
                <w:szCs w:val="24"/>
                <w:lang w:val="en-US" w:eastAsia="en-US"/>
              </w:rPr>
              <w:t>________________</w:t>
            </w:r>
          </w:p>
          <w:p w:rsidR="002F1F7C" w:rsidRPr="00B4023C" w:rsidRDefault="002F1F7C" w:rsidP="00D0100E">
            <w:pPr>
              <w:spacing w:line="276" w:lineRule="auto"/>
              <w:jc w:val="center"/>
              <w:rPr>
                <w:sz w:val="24"/>
                <w:szCs w:val="24"/>
                <w:lang w:val="en-US" w:eastAsia="en-US"/>
              </w:rPr>
            </w:pPr>
            <w:r w:rsidRPr="00B4023C">
              <w:rPr>
                <w:sz w:val="24"/>
                <w:szCs w:val="24"/>
                <w:lang w:val="en-US" w:eastAsia="en-US"/>
              </w:rPr>
              <w:t>(signature)</w:t>
            </w:r>
          </w:p>
        </w:tc>
        <w:tc>
          <w:tcPr>
            <w:tcW w:w="2669" w:type="dxa"/>
            <w:tcBorders>
              <w:top w:val="single" w:sz="4" w:space="0" w:color="auto"/>
              <w:left w:val="nil"/>
              <w:bottom w:val="nil"/>
              <w:right w:val="single" w:sz="4" w:space="0" w:color="auto"/>
            </w:tcBorders>
            <w:tcMar>
              <w:top w:w="0" w:type="dxa"/>
              <w:left w:w="28" w:type="dxa"/>
              <w:bottom w:w="0" w:type="dxa"/>
              <w:right w:w="28" w:type="dxa"/>
            </w:tcMar>
            <w:vAlign w:val="bottom"/>
          </w:tcPr>
          <w:p w:rsidR="002F1F7C" w:rsidRPr="00B4023C" w:rsidRDefault="002F1F7C" w:rsidP="00D0100E">
            <w:pPr>
              <w:spacing w:line="276" w:lineRule="auto"/>
              <w:rPr>
                <w:sz w:val="24"/>
                <w:szCs w:val="24"/>
                <w:lang w:val="en-US" w:eastAsia="en-US"/>
              </w:rPr>
            </w:pPr>
            <w:proofErr w:type="spellStart"/>
            <w:r w:rsidRPr="00B4023C">
              <w:rPr>
                <w:sz w:val="24"/>
                <w:szCs w:val="24"/>
                <w:lang w:val="en-US" w:eastAsia="en-US"/>
              </w:rPr>
              <w:t>Didenko</w:t>
            </w:r>
            <w:proofErr w:type="spellEnd"/>
            <w:r w:rsidRPr="00B4023C">
              <w:rPr>
                <w:sz w:val="24"/>
                <w:szCs w:val="24"/>
                <w:lang w:val="en-US" w:eastAsia="en-US"/>
              </w:rPr>
              <w:t xml:space="preserve"> </w:t>
            </w:r>
            <w:proofErr w:type="spellStart"/>
            <w:r w:rsidRPr="00B4023C">
              <w:rPr>
                <w:sz w:val="24"/>
                <w:szCs w:val="24"/>
                <w:lang w:val="en-US" w:eastAsia="en-US"/>
              </w:rPr>
              <w:t>Ye.Ye</w:t>
            </w:r>
            <w:proofErr w:type="spellEnd"/>
            <w:r w:rsidRPr="00B4023C">
              <w:rPr>
                <w:sz w:val="24"/>
                <w:szCs w:val="24"/>
                <w:lang w:val="en-US" w:eastAsia="en-US"/>
              </w:rPr>
              <w:t>.</w:t>
            </w:r>
          </w:p>
          <w:p w:rsidR="002F1F7C" w:rsidRPr="00B4023C" w:rsidRDefault="002F1F7C" w:rsidP="00D0100E">
            <w:pPr>
              <w:spacing w:line="276" w:lineRule="auto"/>
              <w:rPr>
                <w:sz w:val="24"/>
                <w:szCs w:val="24"/>
                <w:lang w:val="en-US" w:eastAsia="en-US"/>
              </w:rPr>
            </w:pPr>
          </w:p>
          <w:p w:rsidR="002F1F7C" w:rsidRPr="00B4023C" w:rsidRDefault="002F1F7C" w:rsidP="00D0100E">
            <w:pPr>
              <w:spacing w:line="276" w:lineRule="auto"/>
              <w:rPr>
                <w:sz w:val="24"/>
                <w:szCs w:val="24"/>
                <w:lang w:val="en-US" w:eastAsia="en-US"/>
              </w:rPr>
            </w:pPr>
          </w:p>
        </w:tc>
      </w:tr>
      <w:tr w:rsidR="002F1F7C" w:rsidRPr="00B4023C" w:rsidTr="00D0100E">
        <w:trPr>
          <w:cantSplit/>
          <w:trHeight w:val="645"/>
        </w:trPr>
        <w:tc>
          <w:tcPr>
            <w:tcW w:w="5561" w:type="dxa"/>
            <w:gridSpan w:val="2"/>
            <w:tcBorders>
              <w:top w:val="nil"/>
              <w:left w:val="single" w:sz="4" w:space="0" w:color="auto"/>
              <w:right w:val="nil"/>
            </w:tcBorders>
            <w:tcMar>
              <w:top w:w="0" w:type="dxa"/>
              <w:left w:w="28" w:type="dxa"/>
              <w:bottom w:w="0" w:type="dxa"/>
              <w:right w:w="28" w:type="dxa"/>
            </w:tcMar>
            <w:vAlign w:val="bottom"/>
            <w:hideMark/>
          </w:tcPr>
          <w:p w:rsidR="002F1F7C" w:rsidRPr="00B4023C" w:rsidRDefault="002F1F7C" w:rsidP="002F1F7C">
            <w:pPr>
              <w:spacing w:line="360" w:lineRule="auto"/>
              <w:rPr>
                <w:sz w:val="24"/>
                <w:szCs w:val="24"/>
                <w:lang w:val="en-US" w:eastAsia="en-US"/>
              </w:rPr>
            </w:pPr>
            <w:r w:rsidRPr="00B4023C">
              <w:rPr>
                <w:sz w:val="24"/>
                <w:szCs w:val="24"/>
                <w:lang w:val="en-US" w:eastAsia="en-US"/>
              </w:rPr>
              <w:t xml:space="preserve">3.2 Date: </w:t>
            </w:r>
            <w:r>
              <w:rPr>
                <w:sz w:val="24"/>
                <w:szCs w:val="24"/>
                <w:lang w:val="en-US" w:eastAsia="en-US"/>
              </w:rPr>
              <w:t>11 May</w:t>
            </w:r>
            <w:r w:rsidRPr="00B4023C">
              <w:rPr>
                <w:sz w:val="24"/>
                <w:szCs w:val="24"/>
                <w:lang w:val="en-US" w:eastAsia="en-US"/>
              </w:rPr>
              <w:t xml:space="preserve"> 2016</w:t>
            </w:r>
          </w:p>
        </w:tc>
        <w:tc>
          <w:tcPr>
            <w:tcW w:w="1976" w:type="dxa"/>
            <w:tcBorders>
              <w:top w:val="nil"/>
              <w:left w:val="nil"/>
              <w:right w:val="nil"/>
            </w:tcBorders>
            <w:tcMar>
              <w:top w:w="0" w:type="dxa"/>
              <w:left w:w="28" w:type="dxa"/>
              <w:bottom w:w="0" w:type="dxa"/>
              <w:right w:w="28" w:type="dxa"/>
            </w:tcMar>
            <w:vAlign w:val="bottom"/>
          </w:tcPr>
          <w:p w:rsidR="002F1F7C" w:rsidRPr="00B4023C" w:rsidRDefault="002F1F7C" w:rsidP="00D0100E">
            <w:pPr>
              <w:spacing w:line="276" w:lineRule="auto"/>
              <w:jc w:val="center"/>
              <w:rPr>
                <w:sz w:val="24"/>
                <w:szCs w:val="24"/>
                <w:lang w:val="en-US" w:eastAsia="en-US"/>
              </w:rPr>
            </w:pPr>
            <w:r w:rsidRPr="00B4023C">
              <w:rPr>
                <w:sz w:val="24"/>
                <w:szCs w:val="24"/>
                <w:lang w:val="en-US" w:eastAsia="en-US"/>
              </w:rPr>
              <w:t xml:space="preserve">stamp </w:t>
            </w:r>
          </w:p>
        </w:tc>
        <w:tc>
          <w:tcPr>
            <w:tcW w:w="2669" w:type="dxa"/>
            <w:tcBorders>
              <w:top w:val="nil"/>
              <w:left w:val="nil"/>
              <w:right w:val="single" w:sz="4" w:space="0" w:color="auto"/>
            </w:tcBorders>
            <w:tcMar>
              <w:top w:w="0" w:type="dxa"/>
              <w:left w:w="28" w:type="dxa"/>
              <w:bottom w:w="0" w:type="dxa"/>
              <w:right w:w="28" w:type="dxa"/>
            </w:tcMar>
            <w:vAlign w:val="bottom"/>
          </w:tcPr>
          <w:p w:rsidR="002F1F7C" w:rsidRPr="00B4023C" w:rsidRDefault="002F1F7C" w:rsidP="00D0100E">
            <w:pPr>
              <w:spacing w:line="276" w:lineRule="auto"/>
              <w:rPr>
                <w:sz w:val="24"/>
                <w:szCs w:val="24"/>
                <w:lang w:val="en-US" w:eastAsia="en-US"/>
              </w:rPr>
            </w:pPr>
          </w:p>
        </w:tc>
      </w:tr>
    </w:tbl>
    <w:p w:rsidR="002F1F7C" w:rsidRPr="00B4023C" w:rsidRDefault="002F1F7C" w:rsidP="002F1F7C">
      <w:pPr>
        <w:rPr>
          <w:sz w:val="24"/>
          <w:szCs w:val="24"/>
          <w:lang w:val="en-US"/>
        </w:rPr>
      </w:pPr>
    </w:p>
    <w:p w:rsidR="002F1F7C" w:rsidRPr="00B4023C" w:rsidRDefault="002F1F7C" w:rsidP="002F1F7C">
      <w:pPr>
        <w:rPr>
          <w:sz w:val="24"/>
          <w:szCs w:val="24"/>
          <w:lang w:val="en-US"/>
        </w:rPr>
      </w:pPr>
    </w:p>
    <w:p w:rsidR="002F1F7C" w:rsidRPr="00B4023C" w:rsidRDefault="002F1F7C" w:rsidP="002F1F7C">
      <w:pPr>
        <w:rPr>
          <w:sz w:val="24"/>
          <w:szCs w:val="24"/>
          <w:lang w:val="en-US"/>
        </w:rPr>
      </w:pPr>
    </w:p>
    <w:p w:rsidR="002F1F7C" w:rsidRPr="00B4023C" w:rsidRDefault="002F1F7C" w:rsidP="002F1F7C">
      <w:pPr>
        <w:rPr>
          <w:sz w:val="24"/>
          <w:szCs w:val="24"/>
        </w:rPr>
      </w:pPr>
    </w:p>
    <w:p w:rsidR="002F1F7C" w:rsidRPr="00B4023C" w:rsidRDefault="002F1F7C" w:rsidP="002F1F7C">
      <w:pPr>
        <w:rPr>
          <w:sz w:val="24"/>
          <w:szCs w:val="24"/>
        </w:rPr>
      </w:pPr>
    </w:p>
    <w:p w:rsidR="002F1F7C" w:rsidRPr="00B4023C" w:rsidRDefault="002F1F7C" w:rsidP="002F1F7C">
      <w:pPr>
        <w:rPr>
          <w:sz w:val="24"/>
          <w:szCs w:val="24"/>
        </w:rPr>
      </w:pPr>
    </w:p>
    <w:p w:rsidR="002F1F7C" w:rsidRPr="00B4023C" w:rsidRDefault="002F1F7C" w:rsidP="002F1F7C">
      <w:pPr>
        <w:rPr>
          <w:sz w:val="24"/>
          <w:szCs w:val="24"/>
        </w:rPr>
      </w:pPr>
    </w:p>
    <w:p w:rsidR="002F1F7C" w:rsidRPr="00B4023C" w:rsidRDefault="002F1F7C" w:rsidP="002F1F7C">
      <w:pPr>
        <w:rPr>
          <w:sz w:val="24"/>
          <w:szCs w:val="24"/>
        </w:rPr>
      </w:pPr>
    </w:p>
    <w:p w:rsidR="002F1F7C" w:rsidRPr="00B4023C" w:rsidRDefault="002F1F7C" w:rsidP="002F1F7C">
      <w:pPr>
        <w:rPr>
          <w:sz w:val="24"/>
          <w:szCs w:val="24"/>
        </w:rPr>
      </w:pPr>
    </w:p>
    <w:p w:rsidR="004E06C8" w:rsidRDefault="004E06C8"/>
    <w:sectPr w:rsidR="004E0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F7C"/>
    <w:rsid w:val="002F1F7C"/>
    <w:rsid w:val="004B4C4C"/>
    <w:rsid w:val="004B6A59"/>
    <w:rsid w:val="004E06C8"/>
    <w:rsid w:val="00AE3403"/>
    <w:rsid w:val="00E5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F7C"/>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1F7C"/>
    <w:rPr>
      <w:color w:val="0000FF"/>
      <w:u w:val="single"/>
    </w:rPr>
  </w:style>
  <w:style w:type="paragraph" w:styleId="a4">
    <w:name w:val="No Spacing"/>
    <w:uiPriority w:val="1"/>
    <w:qFormat/>
    <w:rsid w:val="002F1F7C"/>
    <w:pPr>
      <w:spacing w:after="0" w:line="240" w:lineRule="auto"/>
    </w:pPr>
    <w:rPr>
      <w:rFonts w:ascii="Calibri" w:eastAsia="Calibri" w:hAnsi="Calibri" w:cs="Times New Roman"/>
    </w:rPr>
  </w:style>
  <w:style w:type="paragraph" w:customStyle="1" w:styleId="ConsNonformat">
    <w:name w:val="ConsNonformat"/>
    <w:rsid w:val="002F1F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2F1F7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F7C"/>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1F7C"/>
    <w:rPr>
      <w:color w:val="0000FF"/>
      <w:u w:val="single"/>
    </w:rPr>
  </w:style>
  <w:style w:type="paragraph" w:styleId="a4">
    <w:name w:val="No Spacing"/>
    <w:uiPriority w:val="1"/>
    <w:qFormat/>
    <w:rsid w:val="002F1F7C"/>
    <w:pPr>
      <w:spacing w:after="0" w:line="240" w:lineRule="auto"/>
    </w:pPr>
    <w:rPr>
      <w:rFonts w:ascii="Calibri" w:eastAsia="Calibri" w:hAnsi="Calibri" w:cs="Times New Roman"/>
    </w:rPr>
  </w:style>
  <w:style w:type="paragraph" w:customStyle="1" w:styleId="ConsNonformat">
    <w:name w:val="ConsNonformat"/>
    <w:rsid w:val="002F1F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2F1F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18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2584</Characters>
  <Application>Microsoft Office Word</Application>
  <DocSecurity>0</DocSecurity>
  <Lines>21</Lines>
  <Paragraphs>6</Paragraphs>
  <ScaleCrop>false</ScaleCrop>
  <Company>Krokoz™</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2016-05-12T13:16:00Z</dcterms:created>
  <dcterms:modified xsi:type="dcterms:W3CDTF">2016-05-12T13:21:00Z</dcterms:modified>
</cp:coreProperties>
</file>