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38" w:rsidRPr="00F37812" w:rsidRDefault="002F5638" w:rsidP="002F563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7812">
        <w:rPr>
          <w:rFonts w:ascii="Times New Roman" w:hAnsi="Times New Roman" w:cs="Times New Roman"/>
          <w:b/>
          <w:sz w:val="24"/>
          <w:szCs w:val="24"/>
          <w:lang w:val="en-US"/>
        </w:rPr>
        <w:t>Corporate action statement</w:t>
      </w:r>
    </w:p>
    <w:p w:rsidR="002F5638" w:rsidRPr="00F37812" w:rsidRDefault="002F5638" w:rsidP="002F563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37812">
        <w:rPr>
          <w:rFonts w:ascii="Times New Roman" w:hAnsi="Times New Roman" w:cs="Times New Roman"/>
          <w:b/>
          <w:bCs/>
          <w:sz w:val="24"/>
          <w:szCs w:val="24"/>
          <w:lang w:val="en-US"/>
        </w:rPr>
        <w:t>“On decisions adopted by the Issuer’s Board of Directors”</w:t>
      </w:r>
    </w:p>
    <w:p w:rsidR="002F5638" w:rsidRPr="00F37812" w:rsidRDefault="002F5638" w:rsidP="002F563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37812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 w:rsidRPr="00F37812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disclosure</w:t>
      </w:r>
      <w:proofErr w:type="gramEnd"/>
      <w:r w:rsidRPr="00F378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inside information)</w:t>
      </w:r>
    </w:p>
    <w:tbl>
      <w:tblPr>
        <w:tblStyle w:val="a6"/>
        <w:tblW w:w="9782" w:type="dxa"/>
        <w:tblInd w:w="-176" w:type="dxa"/>
        <w:tblLook w:val="04A0" w:firstRow="1" w:lastRow="0" w:firstColumn="1" w:lastColumn="0" w:noHBand="0" w:noVBand="1"/>
      </w:tblPr>
      <w:tblGrid>
        <w:gridCol w:w="3828"/>
        <w:gridCol w:w="5954"/>
      </w:tblGrid>
      <w:tr w:rsidR="002F5638" w:rsidRPr="00F37812" w:rsidTr="00EC2B4B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38" w:rsidRPr="00F37812" w:rsidRDefault="002F5638" w:rsidP="00EC2B4B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2F5638" w:rsidRPr="00BB70BE" w:rsidTr="00EC2B4B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38" w:rsidRPr="00F37812" w:rsidRDefault="002F5638" w:rsidP="00EC2B4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38" w:rsidRPr="00F37812" w:rsidRDefault="002F5638" w:rsidP="00EC2B4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2F5638" w:rsidRPr="00F37812" w:rsidTr="00EC2B4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38" w:rsidRPr="00F37812" w:rsidRDefault="002F5638" w:rsidP="00EC2B4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38" w:rsidRPr="00F37812" w:rsidRDefault="002F5638" w:rsidP="00EC2B4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2F5638" w:rsidRPr="00F37812" w:rsidTr="00EC2B4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38" w:rsidRPr="00F37812" w:rsidRDefault="002F5638" w:rsidP="00EC2B4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38" w:rsidRPr="00F37812" w:rsidRDefault="002F5638" w:rsidP="00EC2B4B">
            <w:pPr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>Krasnodar, Russian Federation</w:t>
            </w:r>
          </w:p>
        </w:tc>
      </w:tr>
      <w:tr w:rsidR="002F5638" w:rsidRPr="00F37812" w:rsidTr="00EC2B4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38" w:rsidRPr="00F37812" w:rsidRDefault="002F5638" w:rsidP="00EC2B4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38" w:rsidRPr="00F37812" w:rsidRDefault="002F5638" w:rsidP="00EC2B4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2F5638" w:rsidRPr="00F37812" w:rsidTr="00EC2B4B">
        <w:trPr>
          <w:trHeight w:val="5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38" w:rsidRPr="00F37812" w:rsidRDefault="002F5638" w:rsidP="00EC2B4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38" w:rsidRPr="00F37812" w:rsidRDefault="002F5638" w:rsidP="00EC2B4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2F5638" w:rsidRPr="00F37812" w:rsidTr="00EC2B4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38" w:rsidRPr="00F37812" w:rsidRDefault="002F5638" w:rsidP="00EC2B4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38" w:rsidRPr="00F37812" w:rsidRDefault="002F5638" w:rsidP="00EC2B4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2F5638" w:rsidRPr="00BB70BE" w:rsidTr="00EC2B4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38" w:rsidRPr="00F37812" w:rsidRDefault="002F5638" w:rsidP="00EC2B4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Web-page for information disclosure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38" w:rsidRPr="00F37812" w:rsidRDefault="00BB70BE" w:rsidP="00EC2B4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F5638" w:rsidRPr="00F3781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www.kubanenergo.ru</w:t>
              </w:r>
            </w:hyperlink>
          </w:p>
          <w:p w:rsidR="002F5638" w:rsidRPr="00F37812" w:rsidRDefault="00BB70BE" w:rsidP="00EC2B4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F5638" w:rsidRPr="00F3781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2F5638" w:rsidRPr="00F37812" w:rsidTr="00EC2B4B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38" w:rsidRPr="00F37812" w:rsidRDefault="002F5638" w:rsidP="00EC2B4B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both"/>
              <w:rPr>
                <w:b/>
                <w:bCs/>
                <w:lang w:val="en-US" w:eastAsia="en-US"/>
              </w:rPr>
            </w:pPr>
            <w:r w:rsidRPr="00F37812">
              <w:rPr>
                <w:lang w:val="en-US" w:eastAsia="en-US"/>
              </w:rPr>
              <w:t>2. Statement content</w:t>
            </w:r>
          </w:p>
        </w:tc>
      </w:tr>
      <w:tr w:rsidR="002F5638" w:rsidRPr="00F37812" w:rsidTr="00EC2B4B">
        <w:trPr>
          <w:trHeight w:val="277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38" w:rsidRPr="00F37812" w:rsidRDefault="002F5638" w:rsidP="00EC2B4B">
            <w:pPr>
              <w:tabs>
                <w:tab w:val="left" w:pos="284"/>
              </w:tabs>
              <w:jc w:val="both"/>
              <w:rPr>
                <w:b/>
                <w:lang w:val="en-US" w:eastAsia="en-US"/>
              </w:rPr>
            </w:pPr>
            <w:r w:rsidRPr="00F37812">
              <w:rPr>
                <w:b/>
                <w:lang w:val="en-US" w:eastAsia="en-US"/>
              </w:rPr>
              <w:t>2.1 Quorum of meeting of issuer’s BoD and results of voting on the adopted decisions:</w:t>
            </w:r>
          </w:p>
          <w:p w:rsidR="002F5638" w:rsidRPr="00F37812" w:rsidRDefault="002F5638" w:rsidP="00EC2B4B">
            <w:pPr>
              <w:widowControl w:val="0"/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>Number of BoD members: 11 persons</w:t>
            </w:r>
          </w:p>
          <w:p w:rsidR="002F5638" w:rsidRPr="00F37812" w:rsidRDefault="002F5638" w:rsidP="00EC2B4B">
            <w:pPr>
              <w:tabs>
                <w:tab w:val="left" w:pos="284"/>
              </w:tabs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 xml:space="preserve">Members participated in the meeting: </w:t>
            </w:r>
            <w:r w:rsidR="004C25B9">
              <w:rPr>
                <w:lang w:val="en-US" w:eastAsia="en-US"/>
              </w:rPr>
              <w:t>8</w:t>
            </w:r>
            <w:r w:rsidRPr="00F37812">
              <w:rPr>
                <w:lang w:val="en-US" w:eastAsia="en-US"/>
              </w:rPr>
              <w:t xml:space="preserve"> persons </w:t>
            </w:r>
          </w:p>
          <w:p w:rsidR="002F5638" w:rsidRPr="00F37812" w:rsidRDefault="002F5638" w:rsidP="00EC2B4B">
            <w:pPr>
              <w:tabs>
                <w:tab w:val="left" w:pos="284"/>
              </w:tabs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>Quorum necessary for holding the meeting of Kubanenergo JSC Board of Directors is present.</w:t>
            </w:r>
          </w:p>
          <w:p w:rsidR="002F5638" w:rsidRPr="00F37812" w:rsidRDefault="002F5638" w:rsidP="00EC2B4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161"/>
            </w:tblGrid>
            <w:tr w:rsidR="002F5638" w:rsidRPr="00F37812" w:rsidTr="00EC2B4B">
              <w:trPr>
                <w:jc w:val="center"/>
              </w:trPr>
              <w:tc>
                <w:tcPr>
                  <w:tcW w:w="11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5638" w:rsidRPr="00F37812" w:rsidRDefault="002F5638" w:rsidP="00EC2B4B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3781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59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5638" w:rsidRPr="00F37812" w:rsidRDefault="002F5638" w:rsidP="00EC2B4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3781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2F5638" w:rsidRPr="00F37812" w:rsidTr="00EC2B4B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F5638" w:rsidRPr="00F37812" w:rsidRDefault="002F5638" w:rsidP="00EC2B4B">
                  <w:pPr>
                    <w:autoSpaceDE/>
                    <w:autoSpaceDN/>
                    <w:rPr>
                      <w:rFonts w:eastAsiaTheme="minorHAnsi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5638" w:rsidRPr="00F37812" w:rsidRDefault="002F5638" w:rsidP="00EC2B4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F3781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5638" w:rsidRPr="00F37812" w:rsidRDefault="002F5638" w:rsidP="00EC2B4B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3781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5638" w:rsidRPr="00F37812" w:rsidRDefault="002F5638" w:rsidP="00EC2B4B">
                  <w:pPr>
                    <w:pStyle w:val="a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3781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2F5638" w:rsidRPr="00F37812" w:rsidTr="00EC2B4B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5638" w:rsidRPr="00F37812" w:rsidRDefault="002F5638" w:rsidP="00EC2B4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5638" w:rsidRPr="004C25B9" w:rsidRDefault="004C25B9" w:rsidP="00EC2B4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F5638" w:rsidRPr="00F37812" w:rsidRDefault="002F5638" w:rsidP="00EC2B4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5638" w:rsidRPr="00F37812" w:rsidRDefault="002F5638" w:rsidP="00EC2B4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4C25B9" w:rsidRPr="00F37812" w:rsidTr="00EC2B4B">
              <w:trPr>
                <w:jc w:val="center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5B9" w:rsidRPr="00F37812" w:rsidRDefault="004C25B9" w:rsidP="00EC2B4B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5B9" w:rsidRDefault="004C25B9" w:rsidP="00EC2B4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5B9" w:rsidRPr="00F37812" w:rsidRDefault="004C25B9" w:rsidP="00EC2B4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5B9" w:rsidRPr="00F37812" w:rsidRDefault="004C25B9" w:rsidP="00EC2B4B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F5638" w:rsidRPr="00F37812" w:rsidRDefault="002F5638" w:rsidP="00EC2B4B">
            <w:pPr>
              <w:tabs>
                <w:tab w:val="left" w:pos="3355"/>
              </w:tabs>
              <w:jc w:val="both"/>
              <w:rPr>
                <w:lang w:val="en-US" w:eastAsia="en-US"/>
              </w:rPr>
            </w:pPr>
          </w:p>
        </w:tc>
      </w:tr>
      <w:tr w:rsidR="002F5638" w:rsidRPr="00BB70BE" w:rsidTr="00EC2B4B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38" w:rsidRPr="002F5638" w:rsidRDefault="002F5638" w:rsidP="00EC2B4B">
            <w:pPr>
              <w:tabs>
                <w:tab w:val="left" w:pos="426"/>
                <w:tab w:val="left" w:pos="993"/>
              </w:tabs>
              <w:jc w:val="center"/>
              <w:rPr>
                <w:b/>
                <w:lang w:val="en-US" w:eastAsia="en-US"/>
              </w:rPr>
            </w:pPr>
            <w:r w:rsidRPr="002F5638">
              <w:rPr>
                <w:b/>
                <w:lang w:val="en-US" w:eastAsia="en-US"/>
              </w:rPr>
              <w:t>Disclosure of insider information on item No. 1 “</w:t>
            </w:r>
            <w:r w:rsidRPr="002F5638">
              <w:rPr>
                <w:b/>
                <w:color w:val="000000"/>
                <w:lang w:val="en-US" w:eastAsia="en-US"/>
              </w:rPr>
              <w:t>On approval of Plan of activities aimed at increase of business efficiency and improvement of financial state of Kubanenergo PJSC”</w:t>
            </w:r>
            <w:r w:rsidRPr="002F5638">
              <w:rPr>
                <w:b/>
                <w:lang w:val="en-US" w:eastAsia="en-US"/>
              </w:rPr>
              <w:t>.</w:t>
            </w:r>
          </w:p>
        </w:tc>
      </w:tr>
      <w:tr w:rsidR="002F5638" w:rsidRPr="00BB70BE" w:rsidTr="00EC2B4B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38" w:rsidRPr="00EE6157" w:rsidRDefault="002F5638" w:rsidP="00EC2B4B">
            <w:pPr>
              <w:jc w:val="both"/>
              <w:rPr>
                <w:lang w:val="en-US"/>
              </w:rPr>
            </w:pPr>
            <w:r w:rsidRPr="00EE6157">
              <w:rPr>
                <w:lang w:val="en-US"/>
              </w:rPr>
              <w:t>2.2.1.  Decision adopted by issuer’s Board of Directors:</w:t>
            </w:r>
          </w:p>
          <w:p w:rsidR="002F5638" w:rsidRDefault="004406D9" w:rsidP="00EC2B4B">
            <w:pPr>
              <w:contextualSpacing/>
              <w:jc w:val="both"/>
              <w:rPr>
                <w:color w:val="000000"/>
                <w:lang w:val="en-US" w:eastAsia="en-US"/>
              </w:rPr>
            </w:pPr>
            <w:r>
              <w:rPr>
                <w:lang w:val="en-US"/>
              </w:rPr>
              <w:t xml:space="preserve">1. To approve the </w:t>
            </w:r>
            <w:r w:rsidRPr="004406D9">
              <w:rPr>
                <w:color w:val="000000"/>
                <w:lang w:val="en-US" w:eastAsia="en-US"/>
              </w:rPr>
              <w:t>Plan of activities aimed at increase of business efficiency and improvement of financial state of</w:t>
            </w:r>
            <w:r>
              <w:rPr>
                <w:color w:val="000000"/>
                <w:lang w:val="en-US" w:eastAsia="en-US"/>
              </w:rPr>
              <w:t xml:space="preserve"> the Company </w:t>
            </w:r>
            <w:r w:rsidR="007D4FF7">
              <w:rPr>
                <w:color w:val="000000"/>
                <w:lang w:val="en-US" w:eastAsia="en-US"/>
              </w:rPr>
              <w:t xml:space="preserve">in new edition with regard of the Plan of activities </w:t>
            </w:r>
            <w:r w:rsidR="007D4FF7" w:rsidRPr="004406D9">
              <w:rPr>
                <w:color w:val="000000"/>
                <w:lang w:val="en-US" w:eastAsia="en-US"/>
              </w:rPr>
              <w:t>aimed at increase of business efficiency</w:t>
            </w:r>
            <w:r w:rsidR="007D4FF7">
              <w:rPr>
                <w:color w:val="000000"/>
                <w:lang w:val="en-US" w:eastAsia="en-US"/>
              </w:rPr>
              <w:t xml:space="preserve"> and provision of stability in the power grid in current </w:t>
            </w:r>
            <w:r w:rsidR="007D4FF7" w:rsidRPr="007D4FF7">
              <w:rPr>
                <w:color w:val="000000"/>
                <w:lang w:val="en-US" w:eastAsia="en-US"/>
              </w:rPr>
              <w:t xml:space="preserve">macroeconomic </w:t>
            </w:r>
            <w:r w:rsidR="007D4FF7">
              <w:rPr>
                <w:color w:val="000000"/>
                <w:lang w:val="en-US" w:eastAsia="en-US"/>
              </w:rPr>
              <w:t>conditions, in accordance with Annex 1 to the resolution of the Company’s Board of Directors.</w:t>
            </w:r>
          </w:p>
          <w:p w:rsidR="007D4FF7" w:rsidRDefault="007D4FF7" w:rsidP="00EC2B4B">
            <w:pPr>
              <w:contextualSpacing/>
              <w:jc w:val="both"/>
              <w:rPr>
                <w:color w:val="000000"/>
                <w:lang w:val="en-US" w:eastAsia="en-US"/>
              </w:rPr>
            </w:pPr>
            <w:r>
              <w:rPr>
                <w:lang w:val="en-US"/>
              </w:rPr>
              <w:t xml:space="preserve">2. To consider as invalid the </w:t>
            </w:r>
            <w:r w:rsidRPr="004406D9">
              <w:rPr>
                <w:color w:val="000000"/>
                <w:lang w:val="en-US" w:eastAsia="en-US"/>
              </w:rPr>
              <w:t>Plan of activities aimed at increase of business efficiency and improvement of financial state of</w:t>
            </w:r>
            <w:r>
              <w:rPr>
                <w:color w:val="000000"/>
                <w:lang w:val="en-US" w:eastAsia="en-US"/>
              </w:rPr>
              <w:t xml:space="preserve"> the Company that was approved by the Board of Directors on 10.08.2015 (minutes of meeting No.218/2015).</w:t>
            </w:r>
          </w:p>
          <w:p w:rsidR="007D4FF7" w:rsidRDefault="007D4FF7" w:rsidP="00EC2B4B">
            <w:pPr>
              <w:contextualSpacing/>
              <w:jc w:val="both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 xml:space="preserve">3. </w:t>
            </w:r>
            <w:r w:rsidR="00B35D4B">
              <w:rPr>
                <w:color w:val="000000"/>
                <w:lang w:val="en-US" w:eastAsia="en-US"/>
              </w:rPr>
              <w:t xml:space="preserve">To instruct the </w:t>
            </w:r>
            <w:r w:rsidR="00B35D4B" w:rsidRPr="00B35D4B">
              <w:rPr>
                <w:color w:val="000000"/>
                <w:lang w:val="en-US" w:eastAsia="en-US"/>
              </w:rPr>
              <w:t>chief executive</w:t>
            </w:r>
            <w:r w:rsidR="00B35D4B">
              <w:rPr>
                <w:color w:val="000000"/>
                <w:lang w:val="en-US" w:eastAsia="en-US"/>
              </w:rPr>
              <w:t xml:space="preserve"> of the Company to ensure that the Report on implementation of the Plan </w:t>
            </w:r>
            <w:r w:rsidR="00B35D4B" w:rsidRPr="004406D9">
              <w:rPr>
                <w:color w:val="000000"/>
                <w:lang w:val="en-US" w:eastAsia="en-US"/>
              </w:rPr>
              <w:t>of activities aimed at increase of business efficiency and improvement of financial state of</w:t>
            </w:r>
            <w:r w:rsidR="00B35D4B">
              <w:rPr>
                <w:color w:val="000000"/>
                <w:lang w:val="en-US" w:eastAsia="en-US"/>
              </w:rPr>
              <w:t xml:space="preserve"> the Company is prepared and discussed at the BoD.</w:t>
            </w:r>
          </w:p>
          <w:p w:rsidR="00B35D4B" w:rsidRPr="00F37812" w:rsidRDefault="00B35D4B" w:rsidP="00B35D4B">
            <w:pPr>
              <w:contextualSpacing/>
              <w:jc w:val="both"/>
              <w:rPr>
                <w:lang w:val="en-US"/>
              </w:rPr>
            </w:pPr>
            <w:r>
              <w:rPr>
                <w:color w:val="000000"/>
                <w:lang w:val="en-US" w:eastAsia="en-US"/>
              </w:rPr>
              <w:t>Deadline: every quarter (quarterly report by the 20</w:t>
            </w:r>
            <w:r w:rsidRPr="00B35D4B">
              <w:rPr>
                <w:color w:val="000000"/>
                <w:vertAlign w:val="superscript"/>
                <w:lang w:val="en-US" w:eastAsia="en-US"/>
              </w:rPr>
              <w:t>th</w:t>
            </w:r>
            <w:r>
              <w:rPr>
                <w:color w:val="000000"/>
                <w:lang w:val="en-US" w:eastAsia="en-US"/>
              </w:rPr>
              <w:t xml:space="preserve"> day of the month following the reporting period, annual report – by the 20</w:t>
            </w:r>
            <w:r w:rsidRPr="00B35D4B">
              <w:rPr>
                <w:color w:val="000000"/>
                <w:vertAlign w:val="superscript"/>
                <w:lang w:val="en-US" w:eastAsia="en-US"/>
              </w:rPr>
              <w:t>th</w:t>
            </w:r>
            <w:r>
              <w:rPr>
                <w:color w:val="000000"/>
                <w:lang w:val="en-US" w:eastAsia="en-US"/>
              </w:rPr>
              <w:t xml:space="preserve"> March of the next reporting period).</w:t>
            </w:r>
          </w:p>
        </w:tc>
      </w:tr>
      <w:tr w:rsidR="002F5638" w:rsidRPr="00BB70BE" w:rsidTr="00EC2B4B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38" w:rsidRPr="002F5638" w:rsidRDefault="002F5638" w:rsidP="00EC2B4B">
            <w:pPr>
              <w:jc w:val="both"/>
              <w:rPr>
                <w:b/>
                <w:lang w:val="en-US"/>
              </w:rPr>
            </w:pPr>
            <w:r w:rsidRPr="002F5638">
              <w:rPr>
                <w:b/>
                <w:lang w:val="en-US" w:eastAsia="en-US"/>
              </w:rPr>
              <w:t>Disclosure of insider information on item No.2 “</w:t>
            </w:r>
            <w:r w:rsidRPr="002F5638">
              <w:rPr>
                <w:b/>
                <w:color w:val="000000"/>
                <w:lang w:val="en-US" w:eastAsia="en-US"/>
              </w:rPr>
              <w:t>On introducing changes to Methods of calculation and evaluation of key performanc</w:t>
            </w:r>
            <w:bookmarkStart w:id="0" w:name="_GoBack"/>
            <w:bookmarkEnd w:id="0"/>
            <w:r w:rsidRPr="002F5638">
              <w:rPr>
                <w:b/>
                <w:color w:val="000000"/>
                <w:lang w:val="en-US" w:eastAsia="en-US"/>
              </w:rPr>
              <w:t>e indicators of the Company’s director general”</w:t>
            </w:r>
          </w:p>
        </w:tc>
      </w:tr>
      <w:tr w:rsidR="002F5638" w:rsidRPr="00BB70BE" w:rsidTr="00EC2B4B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BE" w:rsidRDefault="00BB70BE" w:rsidP="00BB70BE">
            <w:pPr>
              <w:pStyle w:val="a7"/>
              <w:numPr>
                <w:ilvl w:val="0"/>
                <w:numId w:val="4"/>
              </w:numPr>
              <w:tabs>
                <w:tab w:val="left" w:pos="266"/>
              </w:tabs>
              <w:ind w:left="34" w:firstLine="0"/>
              <w:jc w:val="both"/>
              <w:rPr>
                <w:lang w:val="en-US"/>
              </w:rPr>
            </w:pPr>
            <w:r w:rsidRPr="00BB70BE">
              <w:rPr>
                <w:lang w:val="en-US"/>
              </w:rPr>
              <w:t xml:space="preserve">Pursuant to the directives of the </w:t>
            </w:r>
            <w:r>
              <w:rPr>
                <w:lang w:val="en-US"/>
              </w:rPr>
              <w:t xml:space="preserve">RF </w:t>
            </w:r>
            <w:r w:rsidRPr="00BB70BE">
              <w:rPr>
                <w:lang w:val="en-US"/>
              </w:rPr>
              <w:t xml:space="preserve">Government from 29.03.2016 </w:t>
            </w:r>
            <w:r>
              <w:rPr>
                <w:lang w:val="en-US"/>
              </w:rPr>
              <w:t>No.</w:t>
            </w:r>
            <w:r w:rsidRPr="00BB70BE">
              <w:rPr>
                <w:lang w:val="en-US"/>
              </w:rPr>
              <w:t xml:space="preserve">2073p-P13 to </w:t>
            </w:r>
            <w:r>
              <w:rPr>
                <w:lang w:val="en-US"/>
              </w:rPr>
              <w:t>introduce</w:t>
            </w:r>
            <w:r w:rsidRPr="00BB70BE">
              <w:rPr>
                <w:lang w:val="en-US"/>
              </w:rPr>
              <w:t xml:space="preserve"> changes in the procedure of calculation and evaluation of key performance indicators of the General Director of Kubanenergo</w:t>
            </w:r>
            <w:r>
              <w:rPr>
                <w:lang w:val="en-US"/>
              </w:rPr>
              <w:t xml:space="preserve"> PJSC</w:t>
            </w:r>
            <w:r w:rsidRPr="00BB70BE">
              <w:rPr>
                <w:lang w:val="en-US"/>
              </w:rPr>
              <w:t xml:space="preserve">, approved by the decision of the Company Board of Directors </w:t>
            </w:r>
            <w:r>
              <w:rPr>
                <w:lang w:val="en-US"/>
              </w:rPr>
              <w:t>on</w:t>
            </w:r>
            <w:r w:rsidRPr="00BB70BE">
              <w:rPr>
                <w:lang w:val="en-US"/>
              </w:rPr>
              <w:t xml:space="preserve"> 31.03.2016 (Minutes of </w:t>
            </w:r>
            <w:r>
              <w:rPr>
                <w:lang w:val="en-US"/>
              </w:rPr>
              <w:t>meeting No.234/2016 dated 01.04.2016),</w:t>
            </w:r>
            <w:r w:rsidRPr="00BB70BE">
              <w:rPr>
                <w:lang w:val="en-US"/>
              </w:rPr>
              <w:t xml:space="preserve"> in accordance with Annex 2 to the </w:t>
            </w:r>
            <w:r>
              <w:rPr>
                <w:lang w:val="en-US"/>
              </w:rPr>
              <w:t>resolution</w:t>
            </w:r>
            <w:r w:rsidRPr="00BB70BE">
              <w:rPr>
                <w:lang w:val="en-US"/>
              </w:rPr>
              <w:t xml:space="preserve"> of the Board of Directors.</w:t>
            </w:r>
          </w:p>
          <w:p w:rsidR="002F5638" w:rsidRPr="00BB70BE" w:rsidRDefault="00BB70BE" w:rsidP="00BB70BE">
            <w:pPr>
              <w:pStyle w:val="a7"/>
              <w:numPr>
                <w:ilvl w:val="0"/>
                <w:numId w:val="4"/>
              </w:numPr>
              <w:tabs>
                <w:tab w:val="left" w:pos="266"/>
              </w:tabs>
              <w:ind w:left="34" w:firstLine="0"/>
              <w:jc w:val="both"/>
              <w:rPr>
                <w:lang w:val="en-US"/>
              </w:rPr>
            </w:pPr>
            <w:r w:rsidRPr="00BB70BE">
              <w:rPr>
                <w:lang w:val="en-US"/>
              </w:rPr>
              <w:t xml:space="preserve">Calculation and evaluation of the implementation of KPIs in accordance with </w:t>
            </w:r>
            <w:r>
              <w:rPr>
                <w:lang w:val="en-US"/>
              </w:rPr>
              <w:t>paragraph</w:t>
            </w:r>
            <w:r w:rsidRPr="00BB70BE">
              <w:rPr>
                <w:lang w:val="en-US"/>
              </w:rPr>
              <w:t xml:space="preserve"> 1 of the decision </w:t>
            </w:r>
            <w:r>
              <w:rPr>
                <w:lang w:val="en-US"/>
              </w:rPr>
              <w:t>shall be carried out starting from 1</w:t>
            </w:r>
            <w:r w:rsidRPr="00BB70BE">
              <w:rPr>
                <w:lang w:val="en-US"/>
              </w:rPr>
              <w:t xml:space="preserve"> January 2016.</w:t>
            </w:r>
          </w:p>
        </w:tc>
      </w:tr>
      <w:tr w:rsidR="002F5638" w:rsidRPr="00BB70BE" w:rsidTr="00EC2B4B">
        <w:trPr>
          <w:trHeight w:val="803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38" w:rsidRPr="00F37812" w:rsidRDefault="002F5638" w:rsidP="00EC2B4B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2.3. Date of holding the meeting of Board of Directors: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April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  <w:p w:rsidR="002F5638" w:rsidRPr="00F37812" w:rsidRDefault="002F5638" w:rsidP="002F56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2.4. Date of making and number of minutes of meeting: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April 2016, minutes of meeting No.23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/2016</w:t>
            </w:r>
            <w:r w:rsidRPr="00F378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2F5638" w:rsidRPr="00F37812" w:rsidTr="00EC2B4B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38" w:rsidRPr="00F37812" w:rsidRDefault="002F5638" w:rsidP="00EC2B4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Signature</w:t>
            </w:r>
          </w:p>
        </w:tc>
      </w:tr>
    </w:tbl>
    <w:tbl>
      <w:tblPr>
        <w:tblW w:w="978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700"/>
        <w:gridCol w:w="141"/>
        <w:gridCol w:w="1842"/>
        <w:gridCol w:w="287"/>
      </w:tblGrid>
      <w:tr w:rsidR="002F5638" w:rsidRPr="00F37812" w:rsidTr="00EC2B4B">
        <w:trPr>
          <w:cantSplit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F5638" w:rsidRPr="00F37812" w:rsidRDefault="002F5638" w:rsidP="00EC2B4B">
            <w:pPr>
              <w:spacing w:line="276" w:lineRule="auto"/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>3.1 Head of corporate management and shareholders relations department (</w:t>
            </w:r>
            <w:r w:rsidRPr="00F37812">
              <w:rPr>
                <w:lang w:val="en-US"/>
              </w:rPr>
              <w:t xml:space="preserve">acting under letter of attorney 119/10-2849 </w:t>
            </w:r>
            <w:r w:rsidRPr="00F37812">
              <w:rPr>
                <w:lang w:val="en-US" w:eastAsia="en-US"/>
              </w:rPr>
              <w:t>dated 17.03.2016)</w:t>
            </w:r>
          </w:p>
          <w:p w:rsidR="002F5638" w:rsidRPr="00F37812" w:rsidRDefault="002F5638" w:rsidP="00EC2B4B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F5638" w:rsidRPr="00F37812" w:rsidRDefault="002F5638" w:rsidP="00EC2B4B">
            <w:pPr>
              <w:spacing w:line="276" w:lineRule="auto"/>
              <w:jc w:val="both"/>
              <w:rPr>
                <w:lang w:val="en-US" w:eastAsia="en-US"/>
              </w:rPr>
            </w:pPr>
          </w:p>
          <w:p w:rsidR="002F5638" w:rsidRPr="00F37812" w:rsidRDefault="002F5638" w:rsidP="00EC2B4B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F5638" w:rsidRPr="00F37812" w:rsidRDefault="002F5638" w:rsidP="00EC2B4B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F5638" w:rsidRPr="00F37812" w:rsidRDefault="002F5638" w:rsidP="00EC2B4B">
            <w:pPr>
              <w:spacing w:line="276" w:lineRule="auto"/>
              <w:jc w:val="both"/>
              <w:rPr>
                <w:lang w:val="en-US" w:eastAsia="en-US"/>
              </w:rPr>
            </w:pPr>
            <w:proofErr w:type="spellStart"/>
            <w:r w:rsidRPr="00F37812">
              <w:rPr>
                <w:lang w:val="en-US" w:eastAsia="en-US"/>
              </w:rPr>
              <w:t>Didenko</w:t>
            </w:r>
            <w:proofErr w:type="spellEnd"/>
            <w:r w:rsidRPr="00F37812">
              <w:rPr>
                <w:lang w:val="en-US" w:eastAsia="en-US"/>
              </w:rPr>
              <w:t xml:space="preserve"> </w:t>
            </w:r>
            <w:proofErr w:type="spellStart"/>
            <w:r w:rsidRPr="00F37812">
              <w:rPr>
                <w:lang w:val="en-US" w:eastAsia="en-US"/>
              </w:rPr>
              <w:t>Ye.Ye</w:t>
            </w:r>
            <w:proofErr w:type="spellEnd"/>
            <w:r w:rsidRPr="00F37812">
              <w:rPr>
                <w:lang w:val="en-US" w:eastAsia="en-US"/>
              </w:rPr>
              <w:t>.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F5638" w:rsidRPr="00F37812" w:rsidRDefault="002F5638" w:rsidP="00EC2B4B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2F5638" w:rsidRPr="00F37812" w:rsidTr="00EC2B4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5638" w:rsidRPr="00F37812" w:rsidRDefault="002F5638" w:rsidP="00EC2B4B">
            <w:pPr>
              <w:autoSpaceDE/>
              <w:autoSpaceDN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5638" w:rsidRPr="00F37812" w:rsidRDefault="002F5638" w:rsidP="00EC2B4B">
            <w:pPr>
              <w:spacing w:line="276" w:lineRule="auto"/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638" w:rsidRPr="00F37812" w:rsidRDefault="002F5638" w:rsidP="00EC2B4B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638" w:rsidRPr="00F37812" w:rsidRDefault="002F5638" w:rsidP="00EC2B4B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638" w:rsidRPr="00F37812" w:rsidRDefault="002F5638" w:rsidP="00EC2B4B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2F5638" w:rsidRPr="00F37812" w:rsidTr="00EC2B4B">
        <w:trPr>
          <w:cantSplit/>
        </w:trPr>
        <w:tc>
          <w:tcPr>
            <w:tcW w:w="581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F5638" w:rsidRPr="00F37812" w:rsidRDefault="002F5638" w:rsidP="002F5638">
            <w:pPr>
              <w:spacing w:line="276" w:lineRule="auto"/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4 May 2</w:t>
            </w:r>
            <w:r w:rsidRPr="00F37812">
              <w:rPr>
                <w:lang w:val="en-US" w:eastAsia="en-US"/>
              </w:rPr>
              <w:t>016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F5638" w:rsidRPr="00F37812" w:rsidRDefault="002F5638" w:rsidP="00EC2B4B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22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F5638" w:rsidRPr="00F37812" w:rsidRDefault="002F5638" w:rsidP="00EC2B4B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2F5638" w:rsidRPr="00F37812" w:rsidTr="00EC2B4B">
        <w:trPr>
          <w:cantSplit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638" w:rsidRPr="00F37812" w:rsidRDefault="002F5638" w:rsidP="00EC2B4B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F5638" w:rsidRPr="00F37812" w:rsidRDefault="002F5638" w:rsidP="00EC2B4B">
            <w:pPr>
              <w:spacing w:line="276" w:lineRule="auto"/>
              <w:jc w:val="both"/>
              <w:rPr>
                <w:lang w:val="en-US" w:eastAsia="en-US"/>
              </w:rPr>
            </w:pPr>
            <w:r w:rsidRPr="00F37812">
              <w:rPr>
                <w:lang w:val="en-US" w:eastAsia="en-US"/>
              </w:rPr>
              <w:t xml:space="preserve">seal 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F5638" w:rsidRPr="00F37812" w:rsidRDefault="002F5638" w:rsidP="00EC2B4B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</w:tbl>
    <w:p w:rsidR="002F5638" w:rsidRPr="00F37812" w:rsidRDefault="002F5638" w:rsidP="002F5638">
      <w:pPr>
        <w:rPr>
          <w:lang w:val="en-US"/>
        </w:rPr>
      </w:pPr>
    </w:p>
    <w:p w:rsidR="002F5638" w:rsidRPr="00F37812" w:rsidRDefault="002F5638" w:rsidP="002F5638"/>
    <w:p w:rsidR="002F5638" w:rsidRPr="00F37812" w:rsidRDefault="002F5638" w:rsidP="002F5638"/>
    <w:p w:rsidR="002F5638" w:rsidRPr="00F37812" w:rsidRDefault="002F5638" w:rsidP="002F5638"/>
    <w:p w:rsidR="002F5638" w:rsidRDefault="002F5638" w:rsidP="002F5638"/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636F8"/>
    <w:multiLevelType w:val="hybridMultilevel"/>
    <w:tmpl w:val="7186C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A379C"/>
    <w:multiLevelType w:val="hybridMultilevel"/>
    <w:tmpl w:val="06CA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79B2769C"/>
    <w:multiLevelType w:val="hybridMultilevel"/>
    <w:tmpl w:val="1E78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38"/>
    <w:rsid w:val="002F5638"/>
    <w:rsid w:val="004406D9"/>
    <w:rsid w:val="004B4C4C"/>
    <w:rsid w:val="004B6A59"/>
    <w:rsid w:val="004C25B9"/>
    <w:rsid w:val="004E06C8"/>
    <w:rsid w:val="007D4FF7"/>
    <w:rsid w:val="00902A20"/>
    <w:rsid w:val="00AE3403"/>
    <w:rsid w:val="00B35D4B"/>
    <w:rsid w:val="00BB70BE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5638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2F5638"/>
  </w:style>
  <w:style w:type="paragraph" w:styleId="a5">
    <w:name w:val="No Spacing"/>
    <w:link w:val="a4"/>
    <w:uiPriority w:val="1"/>
    <w:qFormat/>
    <w:rsid w:val="002F5638"/>
    <w:pPr>
      <w:spacing w:after="0" w:line="240" w:lineRule="auto"/>
    </w:pPr>
  </w:style>
  <w:style w:type="table" w:styleId="a6">
    <w:name w:val="Table Grid"/>
    <w:basedOn w:val="a1"/>
    <w:uiPriority w:val="59"/>
    <w:rsid w:val="002F56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B70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6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5638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2F5638"/>
  </w:style>
  <w:style w:type="paragraph" w:styleId="a5">
    <w:name w:val="No Spacing"/>
    <w:link w:val="a4"/>
    <w:uiPriority w:val="1"/>
    <w:qFormat/>
    <w:rsid w:val="002F5638"/>
    <w:pPr>
      <w:spacing w:after="0" w:line="240" w:lineRule="auto"/>
    </w:pPr>
  </w:style>
  <w:style w:type="table" w:styleId="a6">
    <w:name w:val="Table Grid"/>
    <w:basedOn w:val="a1"/>
    <w:uiPriority w:val="59"/>
    <w:rsid w:val="002F56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B7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5</cp:revision>
  <dcterms:created xsi:type="dcterms:W3CDTF">2016-05-04T14:34:00Z</dcterms:created>
  <dcterms:modified xsi:type="dcterms:W3CDTF">2016-05-05T14:23:00Z</dcterms:modified>
</cp:coreProperties>
</file>