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43" w:rsidRPr="004B747A" w:rsidRDefault="00BF4D43" w:rsidP="00BF4D43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747A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F4D43" w:rsidRPr="004B747A" w:rsidRDefault="00BF4D43" w:rsidP="00BF4D43">
      <w:pPr>
        <w:jc w:val="center"/>
        <w:rPr>
          <w:b/>
          <w:bCs/>
          <w:sz w:val="24"/>
          <w:szCs w:val="24"/>
          <w:lang w:val="en-US"/>
        </w:rPr>
      </w:pPr>
      <w:r w:rsidRPr="004B747A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BF4D43" w:rsidRPr="004B747A" w:rsidRDefault="00BF4D43" w:rsidP="00BF4D43">
      <w:pPr>
        <w:jc w:val="center"/>
        <w:rPr>
          <w:b/>
          <w:bCs/>
          <w:sz w:val="24"/>
          <w:szCs w:val="24"/>
          <w:lang w:val="en-US"/>
        </w:rPr>
      </w:pPr>
      <w:r w:rsidRPr="004B747A">
        <w:rPr>
          <w:b/>
          <w:bCs/>
          <w:sz w:val="24"/>
          <w:szCs w:val="24"/>
          <w:lang w:val="en-US"/>
        </w:rPr>
        <w:t>(</w:t>
      </w:r>
      <w:proofErr w:type="gramStart"/>
      <w:r w:rsidRPr="004B747A">
        <w:rPr>
          <w:b/>
          <w:bCs/>
          <w:sz w:val="24"/>
          <w:szCs w:val="24"/>
          <w:lang w:val="en-US"/>
        </w:rPr>
        <w:t>disclosure</w:t>
      </w:r>
      <w:proofErr w:type="gramEnd"/>
      <w:r w:rsidRPr="004B747A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33"/>
        <w:gridCol w:w="1976"/>
        <w:gridCol w:w="2669"/>
      </w:tblGrid>
      <w:tr w:rsidR="004B747A" w:rsidRPr="004B747A" w:rsidTr="00BF4D4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 w:rsidP="00682BD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4B747A" w:rsidRPr="004B747A" w:rsidTr="00BF4D43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B74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4B747A" w:rsidRPr="004B747A" w:rsidTr="00BF4D4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B74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B747A" w:rsidRPr="004B747A" w:rsidTr="00BF4D4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4B747A" w:rsidRPr="004B747A" w:rsidTr="00BF4D4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B747A" w:rsidRPr="004B747A" w:rsidTr="00BF4D4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B747A" w:rsidRPr="004B747A" w:rsidTr="00BF4D4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47A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B747A" w:rsidRPr="004B747A" w:rsidTr="00BF4D4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747A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43" w:rsidRPr="004B747A" w:rsidRDefault="00BF4D43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B747A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BF4D43" w:rsidRPr="004B747A" w:rsidRDefault="00BF4D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4B747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B747A" w:rsidRPr="004B747A" w:rsidTr="00BF4D4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4D43" w:rsidRPr="004B747A" w:rsidRDefault="00BF4D4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B747A" w:rsidRPr="004B747A" w:rsidTr="00BF4D43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4D43" w:rsidRPr="004B747A" w:rsidRDefault="00BF4D4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4B747A">
              <w:rPr>
                <w:b/>
                <w:sz w:val="24"/>
                <w:szCs w:val="24"/>
                <w:lang w:val="en-US" w:eastAsia="en-US"/>
              </w:rPr>
              <w:t>5 April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Pr="004B747A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4B747A" w:rsidRPr="004B747A" w:rsidTr="00BF4D4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4D43" w:rsidRPr="004B747A" w:rsidRDefault="00BF4D43" w:rsidP="00BF4D4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B747A"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 w:rsidRPr="004B747A">
              <w:rPr>
                <w:b/>
                <w:sz w:val="24"/>
                <w:szCs w:val="24"/>
                <w:lang w:val="en-US" w:eastAsia="en-US"/>
              </w:rPr>
              <w:t>7</w:t>
            </w:r>
            <w:r w:rsidRPr="004B747A">
              <w:rPr>
                <w:b/>
                <w:sz w:val="24"/>
                <w:szCs w:val="24"/>
                <w:lang w:val="en-US" w:eastAsia="en-US"/>
              </w:rPr>
              <w:t xml:space="preserve"> April 2016</w:t>
            </w:r>
          </w:p>
        </w:tc>
      </w:tr>
      <w:tr w:rsidR="004B747A" w:rsidRPr="004B747A" w:rsidTr="00BF4D4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4D43" w:rsidRPr="004B747A" w:rsidRDefault="00BF4D4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1. </w:t>
            </w:r>
            <w:r w:rsidRPr="004B747A">
              <w:rPr>
                <w:sz w:val="24"/>
                <w:szCs w:val="24"/>
                <w:lang w:val="en-US" w:eastAsia="en-US"/>
              </w:rPr>
              <w:t>On p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reliminary approval of changes to the collective agreement of </w:t>
            </w:r>
            <w:r w:rsidRPr="004B747A">
              <w:rPr>
                <w:sz w:val="24"/>
                <w:szCs w:val="24"/>
                <w:lang w:val="en-US" w:eastAsia="en-US"/>
              </w:rPr>
              <w:t>“</w:t>
            </w:r>
            <w:r w:rsidRPr="004B747A">
              <w:rPr>
                <w:sz w:val="24"/>
                <w:szCs w:val="24"/>
                <w:lang w:val="en-US" w:eastAsia="en-US"/>
              </w:rPr>
              <w:t>Kubanenergo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” </w:t>
            </w:r>
            <w:r w:rsidRPr="004B747A">
              <w:rPr>
                <w:sz w:val="24"/>
                <w:szCs w:val="24"/>
                <w:lang w:val="en-US" w:eastAsia="en-US"/>
              </w:rPr>
              <w:t>PJSC for 2016 - 2018.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2. On </w:t>
            </w:r>
            <w:r w:rsidRPr="004B747A">
              <w:rPr>
                <w:sz w:val="24"/>
                <w:szCs w:val="24"/>
                <w:lang w:val="en-US" w:eastAsia="en-US"/>
              </w:rPr>
              <w:t>a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pproval of benchmarks of cash flow of “Kubanenergo” PJSC </w:t>
            </w:r>
            <w:r w:rsidRPr="004B747A">
              <w:rPr>
                <w:sz w:val="24"/>
                <w:szCs w:val="24"/>
                <w:lang w:val="en-US" w:eastAsia="en-US"/>
              </w:rPr>
              <w:t>for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the 2</w:t>
            </w:r>
            <w:r w:rsidRPr="004B747A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Pr="004B747A">
              <w:rPr>
                <w:sz w:val="24"/>
                <w:szCs w:val="24"/>
                <w:lang w:val="en-US" w:eastAsia="en-US"/>
              </w:rPr>
              <w:t>quarter of 2016.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3. On approval of the </w:t>
            </w:r>
            <w:r w:rsidRPr="004B747A">
              <w:rPr>
                <w:sz w:val="24"/>
                <w:szCs w:val="24"/>
                <w:lang w:val="en-US" w:eastAsia="en-US"/>
              </w:rPr>
              <w:t>“</w:t>
            </w:r>
            <w:r w:rsidRPr="004B747A">
              <w:rPr>
                <w:sz w:val="24"/>
                <w:szCs w:val="24"/>
                <w:lang w:val="en-US" w:eastAsia="en-US"/>
              </w:rPr>
              <w:t>Plan of production asset management system of “Kubanenergo” PJSC for 2016 -2018.</w:t>
            </w:r>
            <w:r w:rsidRPr="004B747A">
              <w:rPr>
                <w:sz w:val="24"/>
                <w:szCs w:val="24"/>
                <w:lang w:val="en-US" w:eastAsia="en-US"/>
              </w:rPr>
              <w:t>”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4. On approval of the report of the internal audit and control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department on the implementation of </w:t>
            </w:r>
            <w:r w:rsidRPr="004B747A">
              <w:rPr>
                <w:sz w:val="24"/>
                <w:szCs w:val="24"/>
                <w:lang w:val="en-US" w:eastAsia="en-US"/>
              </w:rPr>
              <w:t>its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Pr="004B747A">
              <w:rPr>
                <w:sz w:val="24"/>
                <w:szCs w:val="24"/>
                <w:lang w:val="en-US" w:eastAsia="en-US"/>
              </w:rPr>
              <w:t>plan of activities in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2015.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5. </w:t>
            </w:r>
            <w:r w:rsidRPr="004B747A">
              <w:rPr>
                <w:sz w:val="24"/>
                <w:szCs w:val="24"/>
                <w:lang w:val="en-US" w:eastAsia="en-US"/>
              </w:rPr>
              <w:t>On discussion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of report of the sole executive body of the Company on management of the Company's key operational risks </w:t>
            </w:r>
            <w:r w:rsidRPr="004B747A">
              <w:rPr>
                <w:sz w:val="24"/>
                <w:szCs w:val="24"/>
                <w:lang w:val="en-US" w:eastAsia="en-US"/>
              </w:rPr>
              <w:t>in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2015.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6. </w:t>
            </w:r>
            <w:r w:rsidRPr="004B747A">
              <w:rPr>
                <w:sz w:val="24"/>
                <w:szCs w:val="24"/>
                <w:lang w:val="en-US" w:eastAsia="en-US"/>
              </w:rPr>
              <w:t>On c</w:t>
            </w:r>
            <w:r w:rsidRPr="004B747A">
              <w:rPr>
                <w:sz w:val="24"/>
                <w:szCs w:val="24"/>
                <w:lang w:val="en-US" w:eastAsia="en-US"/>
              </w:rPr>
              <w:t>onsideration of report on effectiveness of internal control and risk management of “Kubanenergo” PJSC, following the results of 2015, including assessment of the quality of the internal audit function.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7. On approval of the Agreement </w:t>
            </w:r>
            <w:r w:rsidRPr="004B747A">
              <w:rPr>
                <w:sz w:val="24"/>
                <w:szCs w:val="24"/>
                <w:lang w:val="en-US" w:eastAsia="en-US"/>
              </w:rPr>
              <w:t>on implementation of building inspection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at facilities of electric grid</w:t>
            </w:r>
            <w:r w:rsidRPr="004B747A">
              <w:rPr>
                <w:sz w:val="24"/>
                <w:szCs w:val="24"/>
                <w:lang w:val="en-US" w:eastAsia="en-US"/>
              </w:rPr>
              <w:t>s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of “Kubanenergo” PJSC between “Kubanenergo” PJSC and </w:t>
            </w:r>
            <w:r w:rsidRPr="004B747A">
              <w:rPr>
                <w:sz w:val="24"/>
                <w:szCs w:val="24"/>
                <w:lang w:val="en-US" w:eastAsia="en-US"/>
              </w:rPr>
              <w:t>“Scientific and Research Centre of IDGC”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as 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an </w:t>
            </w:r>
            <w:r w:rsidRPr="004B747A">
              <w:rPr>
                <w:sz w:val="24"/>
                <w:szCs w:val="24"/>
                <w:lang w:val="en-US" w:eastAsia="en-US"/>
              </w:rPr>
              <w:t>interest</w:t>
            </w:r>
            <w:r w:rsidRPr="004B747A">
              <w:rPr>
                <w:sz w:val="24"/>
                <w:szCs w:val="24"/>
                <w:lang w:val="en-US" w:eastAsia="en-US"/>
              </w:rPr>
              <w:t>ed party transaction</w:t>
            </w:r>
            <w:r w:rsidRPr="004B747A">
              <w:rPr>
                <w:sz w:val="24"/>
                <w:szCs w:val="24"/>
                <w:lang w:val="en-US" w:eastAsia="en-US"/>
              </w:rPr>
              <w:t>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8. On approval of 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the </w:t>
            </w:r>
            <w:r w:rsidR="00D92D11" w:rsidRPr="004B747A">
              <w:rPr>
                <w:sz w:val="24"/>
                <w:szCs w:val="24"/>
                <w:shd w:val="clear" w:color="auto" w:fill="FFFFFF"/>
                <w:lang w:val="en-US"/>
              </w:rPr>
              <w:t>contract for provision of services to support normative and reference information management for the needs of</w:t>
            </w:r>
            <w:r w:rsidR="00D92D11" w:rsidRPr="004B747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“Kubanenergo” PJSC and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="00D92D11" w:rsidRPr="004B747A">
              <w:rPr>
                <w:rStyle w:val="a5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VOLS</w:t>
            </w:r>
            <w:r w:rsidR="00D92D11" w:rsidRPr="004B747A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D92D11" w:rsidRPr="004B747A">
              <w:rPr>
                <w:rStyle w:val="a5"/>
                <w:bCs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VL Directorate</w:t>
            </w:r>
            <w:r w:rsidR="00D92D11" w:rsidRPr="004B747A">
              <w:rPr>
                <w:rStyle w:val="apple-converted-space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D92D11" w:rsidRPr="004B747A">
              <w:rPr>
                <w:sz w:val="24"/>
                <w:szCs w:val="24"/>
                <w:shd w:val="clear" w:color="auto" w:fill="FFFFFF"/>
                <w:lang w:val="en-US"/>
              </w:rPr>
              <w:t>JSC (Fiber-Optic Communication Line – power lines)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as an interested party transaction</w:t>
            </w:r>
            <w:r w:rsidRPr="004B747A">
              <w:rPr>
                <w:sz w:val="24"/>
                <w:szCs w:val="24"/>
                <w:lang w:val="en-US" w:eastAsia="en-US"/>
              </w:rPr>
              <w:t>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9. On approval of the agreement on debt restructuring for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 the 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work performed under the contract from 30.12.2013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No.</w:t>
            </w:r>
            <w:r w:rsidRPr="004B747A">
              <w:rPr>
                <w:sz w:val="24"/>
                <w:szCs w:val="24"/>
                <w:lang w:val="en-US" w:eastAsia="en-US"/>
              </w:rPr>
              <w:t>1391-002302</w:t>
            </w:r>
            <w:r w:rsidR="00D92D11" w:rsidRPr="004B747A">
              <w:rPr>
                <w:sz w:val="24"/>
                <w:szCs w:val="24"/>
                <w:lang w:val="en-US" w:eastAsia="en-US"/>
              </w:rPr>
              <w:t>/</w:t>
            </w:r>
            <w:r w:rsidRPr="004B747A">
              <w:rPr>
                <w:sz w:val="24"/>
                <w:szCs w:val="24"/>
                <w:lang w:val="en-US" w:eastAsia="en-US"/>
              </w:rPr>
              <w:t>407</w:t>
            </w:r>
            <w:r w:rsidR="00D92D11" w:rsidRPr="004B747A">
              <w:rPr>
                <w:sz w:val="24"/>
                <w:szCs w:val="24"/>
                <w:lang w:val="en-US" w:eastAsia="en-US"/>
              </w:rPr>
              <w:t>/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30-2560 between “Kubanenergo” PJSC and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“</w:t>
            </w:r>
            <w:r w:rsidR="00D92D11" w:rsidRPr="004B747A">
              <w:rPr>
                <w:sz w:val="24"/>
                <w:szCs w:val="24"/>
                <w:lang w:val="en-US" w:eastAsia="en-US"/>
              </w:rPr>
              <w:t>IDGC of</w:t>
            </w:r>
            <w:bookmarkStart w:id="0" w:name="_GoBack"/>
            <w:bookmarkEnd w:id="0"/>
            <w:r w:rsidR="00D92D11" w:rsidRPr="004B747A">
              <w:rPr>
                <w:sz w:val="24"/>
                <w:szCs w:val="24"/>
                <w:lang w:val="en-US" w:eastAsia="en-US"/>
              </w:rPr>
              <w:t xml:space="preserve"> Volga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” 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PJSC,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as an interested party transaction</w:t>
            </w:r>
            <w:r w:rsidRPr="004B747A">
              <w:rPr>
                <w:sz w:val="24"/>
                <w:szCs w:val="24"/>
                <w:lang w:val="en-US" w:eastAsia="en-US"/>
              </w:rPr>
              <w:t>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10. On approval of the contract for the provision of rehabilitation and recreation 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of Kubanenergo </w:t>
            </w:r>
            <w:r w:rsidRPr="004B747A">
              <w:rPr>
                <w:sz w:val="24"/>
                <w:szCs w:val="24"/>
                <w:lang w:val="en-US" w:eastAsia="en-US"/>
              </w:rPr>
              <w:t>employees between “Kubanenergo” PJSC and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 “Recreation centre “Energetik” JSC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as an interested party transaction</w:t>
            </w:r>
            <w:r w:rsidRPr="004B747A">
              <w:rPr>
                <w:sz w:val="24"/>
                <w:szCs w:val="24"/>
                <w:lang w:val="en-US" w:eastAsia="en-US"/>
              </w:rPr>
              <w:t>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11. On approval of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restated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Regulations on investment activity of “Kubanenergo” PJSC.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12. On approval of 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restated </w:t>
            </w:r>
            <w:r w:rsidRPr="004B747A">
              <w:rPr>
                <w:sz w:val="24"/>
                <w:szCs w:val="24"/>
                <w:lang w:val="en-US" w:eastAsia="en-US"/>
              </w:rPr>
              <w:t>Rules of forming, adjustment of the investment program</w:t>
            </w:r>
            <w:r w:rsidR="00D92D11" w:rsidRPr="004B747A">
              <w:rPr>
                <w:sz w:val="24"/>
                <w:szCs w:val="24"/>
                <w:lang w:val="en-US" w:eastAsia="en-US"/>
              </w:rPr>
              <w:t>me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and reporting on its performance in “Kubanenergo” PJSC.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lastRenderedPageBreak/>
              <w:t xml:space="preserve">13. </w:t>
            </w:r>
            <w:r w:rsidR="00D92D11" w:rsidRPr="004B747A">
              <w:rPr>
                <w:sz w:val="24"/>
                <w:szCs w:val="24"/>
                <w:lang w:val="en-US" w:eastAsia="en-US"/>
              </w:rPr>
              <w:t xml:space="preserve">On discussion 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of the report of the sole executive body of “Kubanenergo” PJSC </w:t>
            </w:r>
            <w:r w:rsidR="00D92D11" w:rsidRPr="004B747A">
              <w:rPr>
                <w:sz w:val="24"/>
                <w:szCs w:val="24"/>
                <w:lang w:val="en-US" w:eastAsia="en-US"/>
              </w:rPr>
              <w:t>on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certification </w:t>
            </w:r>
            <w:r w:rsidR="004B747A" w:rsidRPr="004B747A">
              <w:rPr>
                <w:sz w:val="24"/>
                <w:szCs w:val="24"/>
                <w:lang w:val="en-US" w:eastAsia="en-US"/>
              </w:rPr>
              <w:t>of max output consumers</w:t>
            </w:r>
            <w:r w:rsidRPr="004B747A">
              <w:rPr>
                <w:sz w:val="24"/>
                <w:szCs w:val="24"/>
                <w:lang w:val="en-US" w:eastAsia="en-US"/>
              </w:rPr>
              <w:t>.</w:t>
            </w:r>
          </w:p>
          <w:p w:rsidR="00BF4D43" w:rsidRPr="004B747A" w:rsidRDefault="00BF4D43" w:rsidP="00BF4D4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14. On </w:t>
            </w:r>
            <w:r w:rsidR="004B747A" w:rsidRPr="004B747A">
              <w:rPr>
                <w:sz w:val="24"/>
                <w:szCs w:val="24"/>
                <w:lang w:val="en-US" w:eastAsia="en-US"/>
              </w:rPr>
              <w:t>approving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the report on results of implementation of the business plan (including the investment program</w:t>
            </w:r>
            <w:r w:rsidR="004B747A" w:rsidRPr="004B747A">
              <w:rPr>
                <w:sz w:val="24"/>
                <w:szCs w:val="24"/>
                <w:lang w:val="en-US" w:eastAsia="en-US"/>
              </w:rPr>
              <w:t>me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and information on the key operational risks) </w:t>
            </w:r>
            <w:r w:rsidR="004B747A" w:rsidRPr="004B747A">
              <w:rPr>
                <w:sz w:val="24"/>
                <w:szCs w:val="24"/>
                <w:lang w:val="en-US" w:eastAsia="en-US"/>
              </w:rPr>
              <w:t xml:space="preserve">of 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“Kubanenergo” </w:t>
            </w:r>
            <w:proofErr w:type="gramStart"/>
            <w:r w:rsidRPr="004B747A">
              <w:rPr>
                <w:sz w:val="24"/>
                <w:szCs w:val="24"/>
                <w:lang w:val="en-US" w:eastAsia="en-US"/>
              </w:rPr>
              <w:t xml:space="preserve">PJSC  </w:t>
            </w:r>
            <w:r w:rsidR="004B747A" w:rsidRPr="004B747A">
              <w:rPr>
                <w:sz w:val="24"/>
                <w:szCs w:val="24"/>
                <w:lang w:val="en-US" w:eastAsia="en-US"/>
              </w:rPr>
              <w:t>in</w:t>
            </w:r>
            <w:proofErr w:type="gramEnd"/>
            <w:r w:rsidRPr="004B747A">
              <w:rPr>
                <w:sz w:val="24"/>
                <w:szCs w:val="24"/>
                <w:lang w:val="en-US" w:eastAsia="en-US"/>
              </w:rPr>
              <w:t xml:space="preserve"> the 4</w:t>
            </w:r>
            <w:r w:rsidRPr="004B747A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 w:rsidR="004B747A"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Pr="004B747A">
              <w:rPr>
                <w:sz w:val="24"/>
                <w:szCs w:val="24"/>
                <w:lang w:val="en-US" w:eastAsia="en-US"/>
              </w:rPr>
              <w:t>quarter and 12 months of 2015.</w:t>
            </w:r>
          </w:p>
          <w:p w:rsidR="00BF4D43" w:rsidRPr="004B747A" w:rsidRDefault="00BF4D43" w:rsidP="004B747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15. On </w:t>
            </w:r>
            <w:r w:rsidR="004B747A" w:rsidRPr="004B747A">
              <w:rPr>
                <w:sz w:val="24"/>
                <w:szCs w:val="24"/>
                <w:lang w:val="en-US" w:eastAsia="en-US"/>
              </w:rPr>
              <w:t xml:space="preserve">approving 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the </w:t>
            </w:r>
            <w:r w:rsidR="004B747A" w:rsidRPr="004B747A">
              <w:rPr>
                <w:sz w:val="24"/>
                <w:szCs w:val="24"/>
                <w:lang w:val="en-US" w:eastAsia="en-US"/>
              </w:rPr>
              <w:t>implementation of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the target values ​​of key performance indicators of the General Director of “Kubanenergo” PJSC </w:t>
            </w:r>
            <w:r w:rsidR="004B747A" w:rsidRPr="004B747A">
              <w:rPr>
                <w:sz w:val="24"/>
                <w:szCs w:val="24"/>
                <w:lang w:val="en-US" w:eastAsia="en-US"/>
              </w:rPr>
              <w:t>in</w:t>
            </w:r>
            <w:r w:rsidRPr="004B747A">
              <w:rPr>
                <w:sz w:val="24"/>
                <w:szCs w:val="24"/>
                <w:lang w:val="en-US" w:eastAsia="en-US"/>
              </w:rPr>
              <w:t xml:space="preserve"> the 4</w:t>
            </w:r>
            <w:r w:rsidRPr="004B747A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 w:rsidR="004B747A"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r w:rsidRPr="004B747A">
              <w:rPr>
                <w:sz w:val="24"/>
                <w:szCs w:val="24"/>
                <w:lang w:val="en-US" w:eastAsia="en-US"/>
              </w:rPr>
              <w:t>quarter 2015.</w:t>
            </w:r>
          </w:p>
        </w:tc>
      </w:tr>
      <w:tr w:rsidR="004B747A" w:rsidRPr="004B747A" w:rsidTr="00BF4D43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F4D43" w:rsidRPr="004B747A" w:rsidRDefault="00BF4D4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4B747A" w:rsidRPr="004B747A" w:rsidTr="00BF4D43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4D43" w:rsidRPr="004B747A" w:rsidRDefault="00BF4D43">
            <w:pPr>
              <w:pStyle w:val="Default"/>
              <w:spacing w:line="276" w:lineRule="auto"/>
              <w:rPr>
                <w:color w:val="auto"/>
                <w:lang w:val="en-US"/>
              </w:rPr>
            </w:pPr>
            <w:r w:rsidRPr="004B747A">
              <w:rPr>
                <w:color w:val="auto"/>
                <w:lang w:val="en-US"/>
              </w:rPr>
              <w:t>3.1 Head of corporate governance and investor relations department (by power of attorney No. 119/10-2849</w:t>
            </w:r>
          </w:p>
          <w:p w:rsidR="00BF4D43" w:rsidRPr="004B747A" w:rsidRDefault="00BF4D4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dated 17.03.2016)</w:t>
            </w:r>
          </w:p>
          <w:p w:rsidR="00BF4D43" w:rsidRPr="004B747A" w:rsidRDefault="00BF4D4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4D43" w:rsidRPr="004B747A" w:rsidRDefault="00BF4D4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BF4D43" w:rsidRPr="004B747A" w:rsidRDefault="00BF4D4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4D43" w:rsidRPr="004B747A" w:rsidRDefault="00BF4D4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4B747A"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4B747A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B747A"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4B747A">
              <w:rPr>
                <w:sz w:val="24"/>
                <w:szCs w:val="24"/>
                <w:lang w:val="en-US" w:eastAsia="en-US"/>
              </w:rPr>
              <w:t>.</w:t>
            </w:r>
          </w:p>
          <w:p w:rsidR="00BF4D43" w:rsidRPr="004B747A" w:rsidRDefault="00BF4D4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BF4D43" w:rsidRPr="004B747A" w:rsidRDefault="00BF4D4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4B747A" w:rsidRPr="004B747A" w:rsidTr="00BF4D43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4D43" w:rsidRPr="004B747A" w:rsidRDefault="00BF4D43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>3.2 Date: 6 April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F4D43" w:rsidRPr="004B747A" w:rsidRDefault="00BF4D4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B747A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F4D43" w:rsidRPr="004B747A" w:rsidRDefault="00BF4D4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F4D43" w:rsidRPr="004B747A" w:rsidRDefault="00BF4D43" w:rsidP="00BF4D43">
      <w:pPr>
        <w:rPr>
          <w:sz w:val="24"/>
          <w:szCs w:val="24"/>
          <w:lang w:val="en-US"/>
        </w:rPr>
      </w:pPr>
    </w:p>
    <w:p w:rsidR="00BF4D43" w:rsidRPr="004B747A" w:rsidRDefault="00BF4D43" w:rsidP="00BF4D43">
      <w:pPr>
        <w:rPr>
          <w:sz w:val="24"/>
          <w:szCs w:val="24"/>
          <w:lang w:val="en-US"/>
        </w:rPr>
      </w:pPr>
    </w:p>
    <w:p w:rsidR="00BF4D43" w:rsidRPr="004B747A" w:rsidRDefault="00BF4D43" w:rsidP="00BF4D43">
      <w:pPr>
        <w:rPr>
          <w:sz w:val="24"/>
          <w:szCs w:val="24"/>
          <w:lang w:val="en-US"/>
        </w:rPr>
      </w:pPr>
    </w:p>
    <w:p w:rsidR="00BF4D43" w:rsidRPr="004B747A" w:rsidRDefault="00BF4D43" w:rsidP="00BF4D43">
      <w:pPr>
        <w:rPr>
          <w:sz w:val="24"/>
          <w:szCs w:val="24"/>
        </w:rPr>
      </w:pPr>
    </w:p>
    <w:p w:rsidR="00BF4D43" w:rsidRPr="004B747A" w:rsidRDefault="00BF4D43" w:rsidP="00BF4D43">
      <w:pPr>
        <w:rPr>
          <w:sz w:val="24"/>
          <w:szCs w:val="24"/>
        </w:rPr>
      </w:pPr>
    </w:p>
    <w:p w:rsidR="00BF4D43" w:rsidRPr="004B747A" w:rsidRDefault="00BF4D43" w:rsidP="00BF4D43">
      <w:pPr>
        <w:rPr>
          <w:sz w:val="24"/>
          <w:szCs w:val="24"/>
        </w:rPr>
      </w:pPr>
    </w:p>
    <w:p w:rsidR="00BF4D43" w:rsidRPr="004B747A" w:rsidRDefault="00BF4D43" w:rsidP="00BF4D43">
      <w:pPr>
        <w:rPr>
          <w:sz w:val="24"/>
          <w:szCs w:val="24"/>
        </w:rPr>
      </w:pPr>
    </w:p>
    <w:p w:rsidR="00BF4D43" w:rsidRPr="004B747A" w:rsidRDefault="00BF4D43" w:rsidP="00BF4D43">
      <w:pPr>
        <w:rPr>
          <w:sz w:val="24"/>
          <w:szCs w:val="24"/>
        </w:rPr>
      </w:pPr>
    </w:p>
    <w:p w:rsidR="00BF4D43" w:rsidRPr="004B747A" w:rsidRDefault="00BF4D43" w:rsidP="00BF4D43">
      <w:pPr>
        <w:rPr>
          <w:sz w:val="24"/>
          <w:szCs w:val="24"/>
        </w:rPr>
      </w:pPr>
    </w:p>
    <w:p w:rsidR="004E06C8" w:rsidRPr="004B747A" w:rsidRDefault="004E06C8">
      <w:pPr>
        <w:rPr>
          <w:sz w:val="24"/>
          <w:szCs w:val="24"/>
        </w:rPr>
      </w:pPr>
    </w:p>
    <w:sectPr w:rsidR="004E06C8" w:rsidRPr="004B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43"/>
    <w:rsid w:val="004B4C4C"/>
    <w:rsid w:val="004B6A59"/>
    <w:rsid w:val="004B747A"/>
    <w:rsid w:val="004E06C8"/>
    <w:rsid w:val="00AE3403"/>
    <w:rsid w:val="00BF4D43"/>
    <w:rsid w:val="00D92D11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D43"/>
    <w:rPr>
      <w:color w:val="0000FF"/>
      <w:u w:val="single"/>
    </w:rPr>
  </w:style>
  <w:style w:type="paragraph" w:styleId="a4">
    <w:name w:val="No Spacing"/>
    <w:uiPriority w:val="1"/>
    <w:qFormat/>
    <w:rsid w:val="00BF4D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F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F4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D92D11"/>
    <w:rPr>
      <w:i/>
      <w:iCs/>
    </w:rPr>
  </w:style>
  <w:style w:type="character" w:customStyle="1" w:styleId="apple-converted-space">
    <w:name w:val="apple-converted-space"/>
    <w:basedOn w:val="a0"/>
    <w:rsid w:val="00D92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D43"/>
    <w:rPr>
      <w:color w:val="0000FF"/>
      <w:u w:val="single"/>
    </w:rPr>
  </w:style>
  <w:style w:type="paragraph" w:styleId="a4">
    <w:name w:val="No Spacing"/>
    <w:uiPriority w:val="1"/>
    <w:qFormat/>
    <w:rsid w:val="00BF4D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F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F4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D92D11"/>
    <w:rPr>
      <w:i/>
      <w:iCs/>
    </w:rPr>
  </w:style>
  <w:style w:type="character" w:customStyle="1" w:styleId="apple-converted-space">
    <w:name w:val="apple-converted-space"/>
    <w:basedOn w:val="a0"/>
    <w:rsid w:val="00D9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2016-04-12T05:43:00Z</dcterms:created>
  <dcterms:modified xsi:type="dcterms:W3CDTF">2016-04-12T06:11:00Z</dcterms:modified>
</cp:coreProperties>
</file>