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69" w:rsidRDefault="00A63F69" w:rsidP="00A63F69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A63F69" w:rsidRDefault="00A63F69" w:rsidP="00A63F69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A63F69" w:rsidRDefault="00A63F69" w:rsidP="00A63F69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50"/>
        <w:gridCol w:w="1700"/>
        <w:gridCol w:w="141"/>
        <w:gridCol w:w="1842"/>
        <w:gridCol w:w="745"/>
      </w:tblGrid>
      <w:tr w:rsidR="00A63F69" w:rsidTr="00435071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 w:rsidP="004D376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A63F69" w:rsidRPr="00D84B26" w:rsidTr="00435071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and Electrification of Kuban</w:t>
            </w:r>
          </w:p>
        </w:tc>
      </w:tr>
      <w:tr w:rsidR="00A63F69" w:rsidTr="004350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A63F69" w:rsidTr="004350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A63F69" w:rsidTr="004350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A63F69" w:rsidTr="004350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A63F69" w:rsidTr="004350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A63F69" w:rsidRPr="00D84B26" w:rsidTr="004350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A63F69" w:rsidRPr="00A63F69" w:rsidRDefault="00D84B26">
            <w:pPr>
              <w:pStyle w:val="a4"/>
              <w:spacing w:line="276" w:lineRule="auto"/>
              <w:rPr>
                <w:rFonts w:ascii="Times New Roman" w:hAnsi="Times New Roman"/>
                <w:lang w:val="en-US"/>
              </w:rPr>
            </w:pPr>
            <w:hyperlink r:id="rId7" w:history="1">
              <w:r w:rsidR="00A63F6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A63F69" w:rsidTr="00435071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A63F69" w:rsidRPr="00D84B26" w:rsidTr="00435071">
        <w:trPr>
          <w:trHeight w:val="69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 w:rsidP="00D84B26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D84B26">
              <w:rPr>
                <w:b/>
                <w:sz w:val="24"/>
                <w:szCs w:val="24"/>
                <w:lang w:val="en-US" w:eastAsia="en-US"/>
              </w:rPr>
              <w:t>14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February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A63F69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A63F69" w:rsidRPr="00D84B26" w:rsidTr="00435071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 w:rsidP="00D84B26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D84B26">
              <w:rPr>
                <w:b/>
                <w:sz w:val="24"/>
                <w:szCs w:val="24"/>
                <w:lang w:val="en-US" w:eastAsia="en-US"/>
              </w:rPr>
              <w:t>31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March 2016</w:t>
            </w:r>
          </w:p>
        </w:tc>
      </w:tr>
      <w:tr w:rsidR="00A63F69" w:rsidRPr="00D84B26" w:rsidTr="00435071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D84B26" w:rsidRPr="00D84B26" w:rsidRDefault="00435071" w:rsidP="00D84B26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435071">
              <w:rPr>
                <w:color w:val="000000"/>
                <w:sz w:val="24"/>
                <w:szCs w:val="24"/>
                <w:lang w:val="en-US" w:eastAsia="en-US"/>
              </w:rPr>
              <w:t>1. On approval of</w:t>
            </w:r>
            <w:r w:rsidR="00D84B26"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 the </w:t>
            </w:r>
            <w:r w:rsidR="00D84B26">
              <w:rPr>
                <w:color w:val="000000"/>
                <w:sz w:val="24"/>
                <w:szCs w:val="24"/>
                <w:lang w:val="en-US" w:eastAsia="en-US"/>
              </w:rPr>
              <w:t>Consolidated</w:t>
            </w:r>
            <w:r w:rsidR="00D84B26"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 on the principles of RAS and IFRS business plan </w:t>
            </w:r>
            <w:r w:rsidR="00D84B26">
              <w:rPr>
                <w:color w:val="000000"/>
                <w:sz w:val="24"/>
                <w:szCs w:val="24"/>
                <w:lang w:val="en-US" w:eastAsia="en-US"/>
              </w:rPr>
              <w:t>of Kubanenergo Group</w:t>
            </w:r>
            <w:r w:rsidR="00D84B26"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 for 2016 and </w:t>
            </w:r>
            <w:r w:rsidR="00D84B26">
              <w:rPr>
                <w:color w:val="000000"/>
                <w:sz w:val="24"/>
                <w:szCs w:val="24"/>
                <w:lang w:val="en-US" w:eastAsia="en-US"/>
              </w:rPr>
              <w:t xml:space="preserve">estimated figures for </w:t>
            </w:r>
            <w:r w:rsidR="00D84B26" w:rsidRPr="00D84B26">
              <w:rPr>
                <w:color w:val="000000"/>
                <w:sz w:val="24"/>
                <w:szCs w:val="24"/>
                <w:lang w:val="en-US" w:eastAsia="en-US"/>
              </w:rPr>
              <w:t>2017-2020.</w:t>
            </w:r>
          </w:p>
          <w:p w:rsidR="00D84B26" w:rsidRPr="00D84B26" w:rsidRDefault="00D84B26" w:rsidP="00D84B26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2. 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>On approval of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 the Programme of private pension coverage Kubanenergo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>employees in the first half of 2016.</w:t>
            </w:r>
          </w:p>
          <w:p w:rsidR="00D84B26" w:rsidRPr="00D84B26" w:rsidRDefault="00D84B26" w:rsidP="00D84B26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3. 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On approval 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of the Registry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of 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key operational risks of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“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>Kubanenergo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” PJSC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 in the new edition.</w:t>
            </w:r>
          </w:p>
          <w:p w:rsidR="00D84B26" w:rsidRPr="00D84B26" w:rsidRDefault="00D84B26" w:rsidP="00D84B26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4.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On introduction of a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mendments to the Company's Board of Directors decision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dated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 09.12.2014 (Minutes of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meeting No.196/2014 dd. 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12.09.2014) on the issue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No.4 paragraph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 2.6.</w:t>
            </w:r>
          </w:p>
          <w:p w:rsidR="00D84B26" w:rsidRPr="00D84B26" w:rsidRDefault="00D84B26" w:rsidP="00D84B26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5. On approval of the corrected credit plan of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“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>Kubanenergo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” PJSC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for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 the 1</w:t>
            </w:r>
            <w:r w:rsidRPr="00D84B26">
              <w:rPr>
                <w:color w:val="000000"/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>quarter of 2016.</w:t>
            </w:r>
          </w:p>
          <w:p w:rsidR="00D84B26" w:rsidRPr="00D84B26" w:rsidRDefault="00D84B26" w:rsidP="00D84B26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6. On approval of the schedule of activities of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“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>Kubanenergo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” PJSC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aimed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 to reduce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overdue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 receivables for the service of electric power transmission and settlement of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disputes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 existing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as of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 01.01.2016.</w:t>
            </w:r>
          </w:p>
          <w:p w:rsidR="00D84B26" w:rsidRPr="00D84B26" w:rsidRDefault="00D84B26" w:rsidP="00D84B26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7.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On c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>onsideration of the information the General Director in terms of the reliability and quality of services provided by the Company, subject to tariff regulation on the basis of long-term regulation parameters of activity for 2015.</w:t>
            </w:r>
          </w:p>
          <w:p w:rsidR="00D84B26" w:rsidRPr="00D84B26" w:rsidRDefault="00D84B26" w:rsidP="00D84B26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8. 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On approval 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of the contract for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implementation 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of works on liquidation of consequences of accidents at energy facilities of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“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>IDGC of the South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” PJSC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, caused by damage resulting from natural disasters between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“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>Kubanenergo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” PJSC 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and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“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>IDGC of the South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” PJSC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>, as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an interested-party transaction.</w:t>
            </w:r>
          </w:p>
          <w:p w:rsidR="00A63F69" w:rsidRDefault="00D84B26" w:rsidP="00D84B26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9. 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On approval 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of the contract for delivery of anti-virus software between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“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>Kubanenergo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” PJSC 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and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“Directorate of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 VOLS-VL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”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 xml:space="preserve"> as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an interested-party transaction</w:t>
            </w:r>
            <w:r w:rsidRPr="00D84B26">
              <w:rPr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A63F69" w:rsidTr="00435071">
        <w:trPr>
          <w:cantSplit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A63F69" w:rsidTr="00435071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3F69" w:rsidRDefault="00A63F69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3.1 Deputy director general in charge of corporate governance (by power of attorney No. № 7</w:t>
            </w:r>
            <w:r>
              <w:rPr>
                <w:sz w:val="24"/>
                <w:szCs w:val="24"/>
                <w:lang w:eastAsia="en-US"/>
              </w:rPr>
              <w:t>Д</w:t>
            </w:r>
            <w:r>
              <w:rPr>
                <w:sz w:val="24"/>
                <w:szCs w:val="24"/>
                <w:lang w:val="en-US" w:eastAsia="en-US"/>
              </w:rPr>
              <w:t>-3158 dated 25.11.2015)</w:t>
            </w:r>
          </w:p>
          <w:p w:rsidR="00A63F69" w:rsidRDefault="00A63F69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3F69" w:rsidRDefault="00A63F6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A63F69" w:rsidRDefault="00A63F6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63F69" w:rsidRDefault="00A63F69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Konevets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K.S.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63F69" w:rsidTr="00435071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3F69" w:rsidRDefault="00A63F69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63F69" w:rsidTr="00435071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63F69" w:rsidRDefault="00A63F69" w:rsidP="00D84B26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D84B26">
              <w:rPr>
                <w:sz w:val="24"/>
                <w:szCs w:val="24"/>
                <w:lang w:val="en-US" w:eastAsia="en-US"/>
              </w:rPr>
              <w:t>14 March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2016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3F69" w:rsidRDefault="00A63F6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63F69" w:rsidTr="00435071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A63F69" w:rsidRDefault="00A63F69" w:rsidP="00A63F69">
      <w:pPr>
        <w:rPr>
          <w:sz w:val="24"/>
          <w:szCs w:val="24"/>
          <w:lang w:val="en-US"/>
        </w:rPr>
      </w:pPr>
    </w:p>
    <w:p w:rsidR="00A63F69" w:rsidRDefault="00A63F69" w:rsidP="00A63F69">
      <w:pPr>
        <w:rPr>
          <w:sz w:val="24"/>
          <w:szCs w:val="24"/>
          <w:lang w:val="en-US"/>
        </w:rPr>
      </w:pPr>
    </w:p>
    <w:p w:rsidR="00A63F69" w:rsidRDefault="00A63F69" w:rsidP="00A63F69">
      <w:pPr>
        <w:rPr>
          <w:sz w:val="24"/>
          <w:szCs w:val="24"/>
          <w:lang w:val="en-US"/>
        </w:rPr>
      </w:pPr>
    </w:p>
    <w:p w:rsidR="00A63F69" w:rsidRDefault="00A63F69" w:rsidP="00A63F69"/>
    <w:p w:rsidR="00A63F69" w:rsidRDefault="00A63F69" w:rsidP="00A63F69"/>
    <w:p w:rsidR="00A63F69" w:rsidRDefault="00A63F69" w:rsidP="00A63F69"/>
    <w:p w:rsidR="00A63F69" w:rsidRDefault="00A63F69" w:rsidP="00A63F69"/>
    <w:p w:rsidR="00A63F69" w:rsidRDefault="00A63F69" w:rsidP="00A63F69"/>
    <w:p w:rsidR="00A63F69" w:rsidRDefault="00A63F69" w:rsidP="00A63F69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69"/>
    <w:rsid w:val="00435071"/>
    <w:rsid w:val="004B4C4C"/>
    <w:rsid w:val="004B6A59"/>
    <w:rsid w:val="004E06C8"/>
    <w:rsid w:val="00A63F69"/>
    <w:rsid w:val="00AE3403"/>
    <w:rsid w:val="00D84B26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F69"/>
    <w:rPr>
      <w:color w:val="0000FF"/>
      <w:u w:val="single"/>
    </w:rPr>
  </w:style>
  <w:style w:type="paragraph" w:styleId="a4">
    <w:name w:val="No Spacing"/>
    <w:uiPriority w:val="1"/>
    <w:qFormat/>
    <w:rsid w:val="00A63F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A6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F69"/>
    <w:rPr>
      <w:color w:val="0000FF"/>
      <w:u w:val="single"/>
    </w:rPr>
  </w:style>
  <w:style w:type="paragraph" w:styleId="a4">
    <w:name w:val="No Spacing"/>
    <w:uiPriority w:val="1"/>
    <w:qFormat/>
    <w:rsid w:val="00A63F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A6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2312</Characters>
  <Application>Microsoft Office Word</Application>
  <DocSecurity>0</DocSecurity>
  <Lines>19</Lines>
  <Paragraphs>5</Paragraphs>
  <ScaleCrop>false</ScaleCrop>
  <Company>Krokoz™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2016-02-28T19:53:00Z</dcterms:created>
  <dcterms:modified xsi:type="dcterms:W3CDTF">2016-03-20T18:50:00Z</dcterms:modified>
</cp:coreProperties>
</file>