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17" w:rsidRPr="00672030" w:rsidRDefault="002C3117" w:rsidP="002C3117">
      <w:pPr>
        <w:pStyle w:val="Con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2030"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2C3117" w:rsidRPr="00672030" w:rsidRDefault="002C3117" w:rsidP="002C311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“On meeting of Board of Directors and its agenda”</w:t>
      </w:r>
    </w:p>
    <w:p w:rsidR="002C3117" w:rsidRPr="00672030" w:rsidRDefault="002C3117" w:rsidP="002C3117">
      <w:pPr>
        <w:jc w:val="center"/>
        <w:rPr>
          <w:b/>
          <w:bCs/>
          <w:sz w:val="24"/>
          <w:szCs w:val="24"/>
          <w:lang w:val="en-US"/>
        </w:rPr>
      </w:pPr>
      <w:r w:rsidRPr="00672030">
        <w:rPr>
          <w:b/>
          <w:bCs/>
          <w:sz w:val="24"/>
          <w:szCs w:val="24"/>
          <w:lang w:val="en-US"/>
        </w:rPr>
        <w:t>(</w:t>
      </w:r>
      <w:proofErr w:type="gramStart"/>
      <w:r w:rsidRPr="00672030">
        <w:rPr>
          <w:b/>
          <w:bCs/>
          <w:sz w:val="24"/>
          <w:szCs w:val="24"/>
          <w:lang w:val="en-US"/>
        </w:rPr>
        <w:t>disclosure</w:t>
      </w:r>
      <w:proofErr w:type="gramEnd"/>
      <w:r w:rsidRPr="00672030"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34"/>
        <w:gridCol w:w="1700"/>
        <w:gridCol w:w="141"/>
        <w:gridCol w:w="1842"/>
        <w:gridCol w:w="604"/>
      </w:tblGrid>
      <w:tr w:rsidR="002C3117" w:rsidRPr="00672030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General data</w:t>
            </w:r>
          </w:p>
        </w:tc>
      </w:tr>
      <w:tr w:rsidR="002C3117" w:rsidRPr="003361C6" w:rsidTr="00C44E01">
        <w:trPr>
          <w:trHeight w:val="59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1.1 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full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joint-stock company of Power and Electrification of Kuban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 w:rsidRPr="00672030">
              <w:rPr>
                <w:rFonts w:ascii="Times New Roman" w:hAnsi="Times New Roman"/>
                <w:sz w:val="24"/>
                <w:szCs w:val="24"/>
              </w:rPr>
              <w:t>’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s short name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JSC</w:t>
            </w:r>
          </w:p>
        </w:tc>
      </w:tr>
      <w:tr w:rsidR="002C3117" w:rsidRPr="003361C6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2C3117" w:rsidRPr="00672030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2030">
              <w:rPr>
                <w:rFonts w:ascii="Times New Roman" w:hAnsi="Times New Roman"/>
                <w:sz w:val="24"/>
                <w:szCs w:val="24"/>
              </w:rPr>
              <w:t>00063-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2C3117" w:rsidRPr="003361C6" w:rsidTr="00C44E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361C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</w:t>
            </w:r>
            <w:r w:rsidRPr="00672030">
              <w:rPr>
                <w:rFonts w:ascii="Times New Roman" w:hAnsi="Times New Roman"/>
                <w:sz w:val="24"/>
                <w:szCs w:val="24"/>
                <w:lang w:val="en-US"/>
              </w:rPr>
              <w:t>Web-page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disclosure of information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117" w:rsidRPr="00672030" w:rsidRDefault="002C3117" w:rsidP="00C44E01">
            <w:pPr>
              <w:spacing w:line="276" w:lineRule="auto"/>
              <w:rPr>
                <w:rStyle w:val="a3"/>
                <w:color w:val="auto"/>
                <w:sz w:val="24"/>
                <w:szCs w:val="24"/>
                <w:lang w:val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http://</w:t>
            </w:r>
            <w:hyperlink r:id="rId6" w:history="1">
              <w:r w:rsidRPr="00672030">
                <w:rPr>
                  <w:rStyle w:val="a3"/>
                  <w:color w:val="auto"/>
                  <w:sz w:val="24"/>
                  <w:szCs w:val="24"/>
                  <w:lang w:val="en-US" w:eastAsia="en-US"/>
                </w:rPr>
                <w:t>www.kubanenergo.ru</w:t>
              </w:r>
            </w:hyperlink>
          </w:p>
          <w:p w:rsidR="002C3117" w:rsidRPr="00672030" w:rsidRDefault="002C3117" w:rsidP="00C44E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672030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2C3117" w:rsidRPr="00672030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line="360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2C3117" w:rsidRPr="003361C6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2C311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both"/>
              <w:rPr>
                <w:b/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2.1. Date of adopting by the chairman of BoD a decision to hold meeting of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b/>
                <w:sz w:val="24"/>
                <w:szCs w:val="24"/>
                <w:lang w:val="en-US" w:eastAsia="en-US"/>
              </w:rPr>
              <w:t>.12.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>2015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2C3117" w:rsidRPr="003361C6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2C3117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 w:rsidRPr="00672030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20.01.2016</w:t>
            </w:r>
          </w:p>
        </w:tc>
      </w:tr>
      <w:tr w:rsidR="002C3117" w:rsidRPr="003361C6" w:rsidTr="00C44E01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2C3117" w:rsidRDefault="002C3117" w:rsidP="00C44E0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rPr>
                <w:sz w:val="24"/>
                <w:szCs w:val="24"/>
                <w:lang w:val="en-US" w:eastAsia="en-US"/>
              </w:rPr>
            </w:pPr>
            <w:r w:rsidRPr="002C3117"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2C3117" w:rsidRPr="002C3117" w:rsidRDefault="002C3117" w:rsidP="002C311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2C3117">
              <w:rPr>
                <w:color w:val="000000"/>
                <w:sz w:val="24"/>
                <w:szCs w:val="24"/>
                <w:lang w:val="en-US"/>
              </w:rPr>
              <w:t xml:space="preserve">1. On </w:t>
            </w:r>
            <w:r w:rsidRPr="002C3117">
              <w:rPr>
                <w:color w:val="000000"/>
                <w:sz w:val="24"/>
                <w:szCs w:val="24"/>
                <w:lang w:val="en-US"/>
              </w:rPr>
              <w:t xml:space="preserve">discussing the list of activities aimed at reduction of losses and increase of economic efficiency that are supposed to </w:t>
            </w:r>
            <w:r w:rsidRPr="002C3117">
              <w:rPr>
                <w:sz w:val="24"/>
                <w:szCs w:val="24"/>
                <w:lang w:val="en-US"/>
              </w:rPr>
              <w:t xml:space="preserve">ensure the reduction </w:t>
            </w:r>
            <w:bookmarkStart w:id="0" w:name="_GoBack"/>
            <w:bookmarkEnd w:id="0"/>
            <w:r w:rsidRPr="002C3117">
              <w:rPr>
                <w:sz w:val="24"/>
                <w:szCs w:val="24"/>
                <w:lang w:val="en-US"/>
              </w:rPr>
              <w:t>of actual losses to the target value by 2017</w:t>
            </w:r>
            <w:r w:rsidRPr="002C3117">
              <w:rPr>
                <w:sz w:val="24"/>
                <w:szCs w:val="24"/>
                <w:lang w:val="en-US"/>
              </w:rPr>
              <w:t>.</w:t>
            </w:r>
          </w:p>
          <w:p w:rsidR="002C3117" w:rsidRPr="002C3117" w:rsidRDefault="002C3117" w:rsidP="002C3117">
            <w:pPr>
              <w:tabs>
                <w:tab w:val="left" w:pos="945"/>
              </w:tabs>
              <w:autoSpaceDE/>
              <w:spacing w:line="276" w:lineRule="auto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2C3117">
              <w:rPr>
                <w:sz w:val="24"/>
                <w:szCs w:val="24"/>
                <w:lang w:val="en-US"/>
              </w:rPr>
              <w:t>2. On approval of a</w:t>
            </w:r>
            <w:r w:rsidRPr="002C3117">
              <w:rPr>
                <w:sz w:val="24"/>
                <w:szCs w:val="24"/>
                <w:lang w:val="en-US"/>
              </w:rPr>
              <w:t xml:space="preserve"> plan </w:t>
            </w:r>
            <w:r w:rsidRPr="002C3117">
              <w:rPr>
                <w:sz w:val="24"/>
                <w:szCs w:val="24"/>
                <w:lang w:val="en-US"/>
              </w:rPr>
              <w:t>for reduction of</w:t>
            </w:r>
            <w:r w:rsidRPr="002C3117">
              <w:rPr>
                <w:sz w:val="24"/>
                <w:szCs w:val="24"/>
                <w:lang w:val="en-US"/>
              </w:rPr>
              <w:t xml:space="preserve"> the amount of overdue receivables from </w:t>
            </w:r>
            <w:r w:rsidRPr="002C3117">
              <w:rPr>
                <w:sz w:val="24"/>
                <w:szCs w:val="24"/>
                <w:lang w:val="en-US"/>
              </w:rPr>
              <w:t>technological</w:t>
            </w:r>
            <w:r w:rsidRPr="002C3117">
              <w:rPr>
                <w:sz w:val="24"/>
                <w:szCs w:val="24"/>
                <w:lang w:val="en-US"/>
              </w:rPr>
              <w:t xml:space="preserve"> connections, </w:t>
            </w:r>
            <w:r w:rsidRPr="002C3117">
              <w:rPr>
                <w:sz w:val="24"/>
                <w:szCs w:val="24"/>
                <w:lang w:val="en-US"/>
              </w:rPr>
              <w:t>regarding</w:t>
            </w:r>
            <w:r w:rsidRPr="002C3117">
              <w:rPr>
                <w:sz w:val="24"/>
                <w:szCs w:val="24"/>
                <w:lang w:val="en-US"/>
              </w:rPr>
              <w:t xml:space="preserve"> the allied grid companies whose failure to perform their functions has made it impossible to provide technological </w:t>
            </w:r>
            <w:r w:rsidRPr="002C3117">
              <w:rPr>
                <w:sz w:val="24"/>
                <w:szCs w:val="24"/>
                <w:lang w:val="en-US"/>
              </w:rPr>
              <w:t>connections.</w:t>
            </w:r>
          </w:p>
        </w:tc>
      </w:tr>
      <w:tr w:rsidR="002C3117" w:rsidRPr="002A2D24" w:rsidTr="00C44E01">
        <w:trPr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 Signature </w:t>
            </w:r>
          </w:p>
        </w:tc>
      </w:tr>
      <w:tr w:rsidR="002C3117" w:rsidRPr="00672030" w:rsidTr="00C44E01">
        <w:trPr>
          <w:cantSplit/>
        </w:trPr>
        <w:tc>
          <w:tcPr>
            <w:tcW w:w="5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3.1 Deputy director general in charge of corporate governance (by power of attorney No.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ED5848">
              <w:rPr>
                <w:sz w:val="24"/>
                <w:szCs w:val="24"/>
                <w:lang w:val="en-US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4</w:t>
            </w:r>
            <w:r w:rsidRPr="00672030">
              <w:rPr>
                <w:sz w:val="24"/>
                <w:szCs w:val="24"/>
              </w:rPr>
              <w:t>Д</w:t>
            </w:r>
            <w:r w:rsidRPr="00ED5848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1602</w:t>
            </w:r>
            <w:r w:rsidRPr="00ED5848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/>
              </w:rPr>
              <w:t xml:space="preserve"> </w:t>
            </w:r>
            <w:r w:rsidRPr="00672030">
              <w:rPr>
                <w:sz w:val="24"/>
                <w:szCs w:val="24"/>
                <w:lang w:val="en-US" w:eastAsia="en-US"/>
              </w:rPr>
              <w:t xml:space="preserve">dated </w:t>
            </w:r>
            <w:r>
              <w:rPr>
                <w:sz w:val="24"/>
                <w:szCs w:val="24"/>
                <w:lang w:val="en-US" w:eastAsia="en-US"/>
              </w:rPr>
              <w:t>01.07.2015</w:t>
            </w:r>
            <w:r w:rsidRPr="00672030">
              <w:rPr>
                <w:sz w:val="24"/>
                <w:szCs w:val="24"/>
                <w:lang w:val="en-US" w:eastAsia="en-US"/>
              </w:rPr>
              <w:t>)</w:t>
            </w:r>
          </w:p>
          <w:p w:rsidR="002C3117" w:rsidRPr="00672030" w:rsidRDefault="002C3117" w:rsidP="00C44E01">
            <w:pPr>
              <w:spacing w:line="276" w:lineRule="auto"/>
              <w:ind w:left="57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3117" w:rsidRPr="00672030" w:rsidRDefault="002C3117" w:rsidP="00C44E01">
            <w:pPr>
              <w:spacing w:line="276" w:lineRule="auto"/>
              <w:ind w:right="-315"/>
              <w:rPr>
                <w:sz w:val="24"/>
                <w:szCs w:val="24"/>
                <w:lang w:val="en-US" w:eastAsia="en-US"/>
              </w:rPr>
            </w:pPr>
            <w:proofErr w:type="spellStart"/>
            <w:r w:rsidRPr="00672030">
              <w:rPr>
                <w:sz w:val="24"/>
                <w:szCs w:val="24"/>
                <w:lang w:val="en-US" w:eastAsia="en-US"/>
              </w:rPr>
              <w:t>Konevets</w:t>
            </w:r>
            <w:proofErr w:type="spellEnd"/>
            <w:r w:rsidRPr="00672030">
              <w:rPr>
                <w:sz w:val="24"/>
                <w:szCs w:val="24"/>
                <w:lang w:val="en-US" w:eastAsia="en-US"/>
              </w:rPr>
              <w:t xml:space="preserve"> K.S.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C3117" w:rsidRPr="00672030" w:rsidTr="00C44E01">
        <w:trPr>
          <w:cantSplit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C3117" w:rsidRPr="00672030" w:rsidRDefault="002C3117" w:rsidP="00C44E01">
            <w:pPr>
              <w:autoSpaceDE/>
              <w:autoSpaceDN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C3117" w:rsidRPr="00672030" w:rsidTr="00C44E0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2C3117" w:rsidRPr="00672030" w:rsidRDefault="002C3117" w:rsidP="002C3117">
            <w:pPr>
              <w:spacing w:line="360" w:lineRule="auto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21</w:t>
            </w:r>
            <w:r>
              <w:rPr>
                <w:sz w:val="24"/>
                <w:szCs w:val="24"/>
                <w:lang w:val="en-US" w:eastAsia="en-US"/>
              </w:rPr>
              <w:t xml:space="preserve"> December </w:t>
            </w:r>
            <w:r w:rsidRPr="00672030">
              <w:rPr>
                <w:sz w:val="24"/>
                <w:szCs w:val="24"/>
                <w:lang w:val="en-US" w:eastAsia="en-US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2C3117" w:rsidRPr="00672030" w:rsidTr="00C44E01">
        <w:trPr>
          <w:cantSplit/>
        </w:trPr>
        <w:tc>
          <w:tcPr>
            <w:tcW w:w="57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2C3117" w:rsidRPr="00672030" w:rsidRDefault="002C3117" w:rsidP="00C44E01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672030"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C3117" w:rsidRPr="00672030" w:rsidRDefault="002C3117" w:rsidP="00C44E01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C3117" w:rsidRPr="00672030" w:rsidRDefault="002C3117" w:rsidP="002C3117">
      <w:pPr>
        <w:rPr>
          <w:sz w:val="24"/>
          <w:szCs w:val="24"/>
          <w:lang w:val="en-US"/>
        </w:rPr>
      </w:pPr>
    </w:p>
    <w:p w:rsidR="002C3117" w:rsidRPr="00672030" w:rsidRDefault="002C3117" w:rsidP="002C3117">
      <w:pPr>
        <w:rPr>
          <w:sz w:val="24"/>
          <w:szCs w:val="24"/>
          <w:lang w:val="en-US"/>
        </w:rPr>
      </w:pPr>
    </w:p>
    <w:p w:rsidR="002C3117" w:rsidRPr="00672030" w:rsidRDefault="002C3117" w:rsidP="002C3117">
      <w:pPr>
        <w:rPr>
          <w:sz w:val="24"/>
          <w:szCs w:val="24"/>
          <w:lang w:val="en-US"/>
        </w:rPr>
      </w:pPr>
    </w:p>
    <w:p w:rsidR="002C3117" w:rsidRDefault="002C3117" w:rsidP="002C3117"/>
    <w:p w:rsidR="002C3117" w:rsidRDefault="002C3117" w:rsidP="002C3117"/>
    <w:p w:rsidR="002C3117" w:rsidRDefault="002C3117" w:rsidP="002C3117"/>
    <w:p w:rsidR="002C3117" w:rsidRDefault="002C3117" w:rsidP="002C3117"/>
    <w:p w:rsidR="002C3117" w:rsidRDefault="002C3117" w:rsidP="002C3117"/>
    <w:p w:rsidR="002C3117" w:rsidRDefault="002C3117" w:rsidP="002C3117"/>
    <w:p w:rsidR="004E06C8" w:rsidRDefault="004E06C8"/>
    <w:sectPr w:rsidR="004E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B9CC67F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17"/>
    <w:rsid w:val="002C3117"/>
    <w:rsid w:val="004B4C4C"/>
    <w:rsid w:val="004B6A59"/>
    <w:rsid w:val="004E06C8"/>
    <w:rsid w:val="00AE3403"/>
    <w:rsid w:val="00E5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117"/>
    <w:rPr>
      <w:color w:val="0000FF"/>
      <w:u w:val="single"/>
    </w:rPr>
  </w:style>
  <w:style w:type="paragraph" w:styleId="a4">
    <w:name w:val="No Spacing"/>
    <w:uiPriority w:val="1"/>
    <w:qFormat/>
    <w:rsid w:val="002C31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C3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117"/>
    <w:rPr>
      <w:color w:val="0000FF"/>
      <w:u w:val="single"/>
    </w:rPr>
  </w:style>
  <w:style w:type="paragraph" w:styleId="a4">
    <w:name w:val="No Spacing"/>
    <w:uiPriority w:val="1"/>
    <w:qFormat/>
    <w:rsid w:val="002C31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2C3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Company>Krokoz™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1</cp:revision>
  <dcterms:created xsi:type="dcterms:W3CDTF">2015-12-21T09:07:00Z</dcterms:created>
  <dcterms:modified xsi:type="dcterms:W3CDTF">2015-12-21T09:13:00Z</dcterms:modified>
</cp:coreProperties>
</file>