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CA" w:rsidRPr="00AC5CCA" w:rsidRDefault="00AC5CCA" w:rsidP="00AC5CCA">
      <w:pPr>
        <w:pStyle w:val="a5"/>
        <w:jc w:val="center"/>
        <w:rPr>
          <w:rFonts w:ascii="Times New Roman" w:hAnsi="Times New Roman" w:cs="Times New Roman"/>
          <w:sz w:val="24"/>
          <w:szCs w:val="24"/>
          <w:lang w:val="en-US"/>
        </w:rPr>
      </w:pPr>
      <w:r w:rsidRPr="00AC5CCA">
        <w:rPr>
          <w:rFonts w:ascii="Times New Roman" w:hAnsi="Times New Roman" w:cs="Times New Roman"/>
          <w:sz w:val="24"/>
          <w:szCs w:val="24"/>
          <w:lang w:val="en-US"/>
        </w:rPr>
        <w:t>Corporate action statement</w:t>
      </w:r>
    </w:p>
    <w:p w:rsidR="00AC5CCA" w:rsidRPr="00AC5CCA" w:rsidRDefault="00AC5CCA" w:rsidP="00AC5CCA">
      <w:pPr>
        <w:pStyle w:val="a5"/>
        <w:ind w:right="140"/>
        <w:jc w:val="center"/>
        <w:rPr>
          <w:rFonts w:ascii="Times New Roman" w:hAnsi="Times New Roman" w:cs="Times New Roman"/>
          <w:b/>
          <w:bCs/>
          <w:sz w:val="24"/>
          <w:szCs w:val="24"/>
          <w:lang w:val="en-US"/>
        </w:rPr>
      </w:pPr>
      <w:r w:rsidRPr="00AC5CCA">
        <w:rPr>
          <w:rFonts w:ascii="Times New Roman" w:hAnsi="Times New Roman" w:cs="Times New Roman"/>
          <w:b/>
          <w:bCs/>
          <w:sz w:val="24"/>
          <w:szCs w:val="24"/>
          <w:lang w:val="en-US"/>
        </w:rPr>
        <w:t>“On decisions adopted by the Issuer’s Board of Directors”</w:t>
      </w:r>
    </w:p>
    <w:p w:rsidR="00AC5CCA" w:rsidRPr="00AC5CCA" w:rsidRDefault="00AC5CCA" w:rsidP="00AC5CCA">
      <w:pPr>
        <w:pStyle w:val="a5"/>
        <w:ind w:right="140"/>
        <w:jc w:val="center"/>
        <w:rPr>
          <w:rFonts w:ascii="Times New Roman" w:hAnsi="Times New Roman" w:cs="Times New Roman"/>
          <w:bCs/>
          <w:sz w:val="24"/>
          <w:szCs w:val="24"/>
          <w:lang w:val="en-US"/>
        </w:rPr>
      </w:pPr>
      <w:r w:rsidRPr="00AC5CCA">
        <w:rPr>
          <w:rFonts w:ascii="Times New Roman" w:hAnsi="Times New Roman" w:cs="Times New Roman"/>
          <w:b/>
          <w:bCs/>
          <w:sz w:val="24"/>
          <w:szCs w:val="24"/>
          <w:lang w:val="en-US"/>
        </w:rPr>
        <w:t>(</w:t>
      </w:r>
      <w:proofErr w:type="gramStart"/>
      <w:r w:rsidRPr="00AC5CCA">
        <w:rPr>
          <w:rFonts w:ascii="Times New Roman" w:hAnsi="Times New Roman" w:cs="Times New Roman"/>
          <w:b/>
          <w:bCs/>
          <w:sz w:val="24"/>
          <w:szCs w:val="24"/>
          <w:lang w:val="en-US"/>
        </w:rPr>
        <w:t>disclosure</w:t>
      </w:r>
      <w:proofErr w:type="gramEnd"/>
      <w:r w:rsidRPr="00AC5CCA">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numPr>
                <w:ilvl w:val="0"/>
                <w:numId w:val="1"/>
              </w:numPr>
              <w:ind w:right="140"/>
              <w:jc w:val="both"/>
              <w:rPr>
                <w:rFonts w:ascii="Times New Roman" w:hAnsi="Times New Roman" w:cs="Times New Roman"/>
                <w:sz w:val="24"/>
                <w:szCs w:val="24"/>
              </w:rPr>
            </w:pPr>
            <w:r w:rsidRPr="00AC5CCA">
              <w:rPr>
                <w:rFonts w:ascii="Times New Roman" w:hAnsi="Times New Roman" w:cs="Times New Roman"/>
                <w:sz w:val="24"/>
                <w:szCs w:val="24"/>
                <w:lang w:val="en-US"/>
              </w:rPr>
              <w:t>General data</w:t>
            </w:r>
          </w:p>
        </w:tc>
      </w:tr>
      <w:tr w:rsidR="00AC5CCA" w:rsidRPr="00AC5CCA" w:rsidTr="0060283F">
        <w:trPr>
          <w:trHeight w:val="599"/>
        </w:trPr>
        <w:tc>
          <w:tcPr>
            <w:tcW w:w="3828"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rPr>
            </w:pPr>
            <w:r w:rsidRPr="00AC5CCA">
              <w:rPr>
                <w:rFonts w:ascii="Times New Roman" w:hAnsi="Times New Roman" w:cs="Times New Roman"/>
                <w:sz w:val="24"/>
                <w:szCs w:val="24"/>
              </w:rPr>
              <w:t xml:space="preserve">1.1  </w:t>
            </w:r>
            <w:r w:rsidRPr="00AC5CCA">
              <w:rPr>
                <w:rFonts w:ascii="Times New Roman" w:hAnsi="Times New Roman" w:cs="Times New Roman"/>
                <w:sz w:val="24"/>
                <w:szCs w:val="24"/>
                <w:lang w:val="en-US"/>
              </w:rPr>
              <w:t>Issuer</w:t>
            </w:r>
            <w:r w:rsidRPr="00AC5CCA">
              <w:rPr>
                <w:rFonts w:ascii="Times New Roman" w:hAnsi="Times New Roman" w:cs="Times New Roman"/>
                <w:sz w:val="24"/>
                <w:szCs w:val="24"/>
              </w:rPr>
              <w:t>’</w:t>
            </w:r>
            <w:r w:rsidRPr="00AC5CCA">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Public joint-stock company of Power Industry and Electrification of Kuban</w:t>
            </w:r>
          </w:p>
        </w:tc>
      </w:tr>
      <w:tr w:rsidR="00AC5CCA" w:rsidRPr="00AC5CC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rPr>
            </w:pPr>
            <w:r w:rsidRPr="00AC5CCA">
              <w:rPr>
                <w:rFonts w:ascii="Times New Roman" w:hAnsi="Times New Roman" w:cs="Times New Roman"/>
                <w:sz w:val="24"/>
                <w:szCs w:val="24"/>
              </w:rPr>
              <w:t xml:space="preserve">1.2. </w:t>
            </w:r>
            <w:r w:rsidRPr="00AC5CCA">
              <w:rPr>
                <w:rFonts w:ascii="Times New Roman" w:hAnsi="Times New Roman" w:cs="Times New Roman"/>
                <w:sz w:val="24"/>
                <w:szCs w:val="24"/>
                <w:lang w:val="en-US"/>
              </w:rPr>
              <w:t>Issuer</w:t>
            </w:r>
            <w:r w:rsidRPr="00AC5CCA">
              <w:rPr>
                <w:rFonts w:ascii="Times New Roman" w:hAnsi="Times New Roman" w:cs="Times New Roman"/>
                <w:sz w:val="24"/>
                <w:szCs w:val="24"/>
              </w:rPr>
              <w:t>’</w:t>
            </w:r>
            <w:r w:rsidRPr="00AC5CCA">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rPr>
            </w:pPr>
            <w:r w:rsidRPr="00AC5CCA">
              <w:rPr>
                <w:rFonts w:ascii="Times New Roman" w:hAnsi="Times New Roman" w:cs="Times New Roman"/>
                <w:sz w:val="24"/>
                <w:szCs w:val="24"/>
                <w:lang w:val="en-US"/>
              </w:rPr>
              <w:t>“Kubanenergo” PJSC</w:t>
            </w:r>
          </w:p>
        </w:tc>
      </w:tr>
      <w:tr w:rsidR="00AC5CCA" w:rsidRPr="00AC5CC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rPr>
              <w:t xml:space="preserve">1.3. </w:t>
            </w:r>
            <w:r w:rsidRPr="00AC5CCA">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ind w:right="140"/>
              <w:jc w:val="both"/>
              <w:rPr>
                <w:lang w:val="en-US" w:eastAsia="en-US"/>
              </w:rPr>
            </w:pPr>
            <w:r w:rsidRPr="00AC5CCA">
              <w:rPr>
                <w:lang w:val="en-US" w:eastAsia="en-US"/>
              </w:rPr>
              <w:t xml:space="preserve">2A, </w:t>
            </w:r>
            <w:proofErr w:type="spellStart"/>
            <w:r w:rsidRPr="00AC5CCA">
              <w:rPr>
                <w:lang w:val="en-US" w:eastAsia="en-US"/>
              </w:rPr>
              <w:t>Stavropolskaya</w:t>
            </w:r>
            <w:proofErr w:type="spellEnd"/>
            <w:r w:rsidRPr="00AC5CCA">
              <w:rPr>
                <w:lang w:val="en-US" w:eastAsia="en-US"/>
              </w:rPr>
              <w:t xml:space="preserve"> str., Krasnodar, Russian federation, 350033</w:t>
            </w:r>
          </w:p>
        </w:tc>
      </w:tr>
      <w:tr w:rsidR="00AC5CCA" w:rsidRPr="00AC5CC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rPr>
              <w:t xml:space="preserve">1.4. </w:t>
            </w:r>
            <w:r w:rsidRPr="00AC5CCA">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rPr>
            </w:pPr>
            <w:r w:rsidRPr="00AC5CCA">
              <w:rPr>
                <w:rFonts w:ascii="Times New Roman" w:hAnsi="Times New Roman" w:cs="Times New Roman"/>
                <w:sz w:val="24"/>
                <w:szCs w:val="24"/>
              </w:rPr>
              <w:t>1022301427268</w:t>
            </w:r>
          </w:p>
        </w:tc>
      </w:tr>
      <w:tr w:rsidR="00AC5CCA" w:rsidRPr="00AC5CCA" w:rsidTr="0060283F">
        <w:trPr>
          <w:trHeight w:val="521"/>
        </w:trPr>
        <w:tc>
          <w:tcPr>
            <w:tcW w:w="3828"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rPr>
              <w:t xml:space="preserve">1.5. </w:t>
            </w:r>
            <w:r w:rsidRPr="00AC5CCA">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rPr>
            </w:pPr>
            <w:r w:rsidRPr="00AC5CCA">
              <w:rPr>
                <w:rFonts w:ascii="Times New Roman" w:hAnsi="Times New Roman" w:cs="Times New Roman"/>
                <w:sz w:val="24"/>
                <w:szCs w:val="24"/>
              </w:rPr>
              <w:t>2309001660</w:t>
            </w:r>
          </w:p>
        </w:tc>
      </w:tr>
      <w:tr w:rsidR="00AC5CCA" w:rsidRPr="00AC5CC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rPr>
              <w:t>00063-</w:t>
            </w:r>
            <w:r w:rsidRPr="00AC5CCA">
              <w:rPr>
                <w:rFonts w:ascii="Times New Roman" w:hAnsi="Times New Roman" w:cs="Times New Roman"/>
                <w:sz w:val="24"/>
                <w:szCs w:val="24"/>
                <w:lang w:val="en-US"/>
              </w:rPr>
              <w:t>A</w:t>
            </w:r>
          </w:p>
        </w:tc>
      </w:tr>
      <w:tr w:rsidR="00AC5CCA" w:rsidRPr="00AC5CC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hyperlink r:id="rId6" w:history="1">
              <w:r w:rsidRPr="00AC5CCA">
                <w:rPr>
                  <w:rStyle w:val="a3"/>
                  <w:rFonts w:ascii="Times New Roman" w:hAnsi="Times New Roman" w:cs="Times New Roman"/>
                  <w:color w:val="auto"/>
                  <w:sz w:val="24"/>
                  <w:szCs w:val="24"/>
                  <w:u w:val="none"/>
                  <w:lang w:val="en-US"/>
                </w:rPr>
                <w:t>www.kubanenergo.ru</w:t>
              </w:r>
            </w:hyperlink>
          </w:p>
          <w:p w:rsidR="00AC5CCA" w:rsidRPr="00AC5CCA" w:rsidRDefault="00AC5CCA" w:rsidP="0060283F">
            <w:pPr>
              <w:pStyle w:val="a5"/>
              <w:ind w:right="140"/>
              <w:jc w:val="both"/>
              <w:rPr>
                <w:rFonts w:ascii="Times New Roman" w:hAnsi="Times New Roman" w:cs="Times New Roman"/>
                <w:sz w:val="24"/>
                <w:szCs w:val="24"/>
                <w:lang w:val="en-US"/>
              </w:rPr>
            </w:pPr>
            <w:hyperlink r:id="rId7" w:history="1">
              <w:r w:rsidRPr="00AC5CCA">
                <w:rPr>
                  <w:rStyle w:val="a3"/>
                  <w:rFonts w:ascii="Times New Roman" w:hAnsi="Times New Roman" w:cs="Times New Roman"/>
                  <w:color w:val="auto"/>
                  <w:sz w:val="24"/>
                  <w:szCs w:val="24"/>
                  <w:lang w:val="en-US"/>
                </w:rPr>
                <w:t>http://www.e-disclosure.ru/portal/company.aspx?id=2827</w:t>
              </w:r>
            </w:hyperlink>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widowControl w:val="0"/>
              <w:shd w:val="clear" w:color="auto" w:fill="FFFFFF"/>
              <w:tabs>
                <w:tab w:val="left" w:pos="432"/>
              </w:tabs>
              <w:adjustRightInd w:val="0"/>
              <w:ind w:right="140"/>
              <w:jc w:val="both"/>
              <w:rPr>
                <w:b/>
                <w:bCs/>
                <w:lang w:val="en-US" w:eastAsia="en-US"/>
              </w:rPr>
            </w:pPr>
            <w:r w:rsidRPr="00AC5CCA">
              <w:rPr>
                <w:lang w:val="en-US" w:eastAsia="en-US"/>
              </w:rPr>
              <w:t>2. Statement content</w:t>
            </w:r>
          </w:p>
        </w:tc>
      </w:tr>
      <w:tr w:rsidR="00AC5CCA" w:rsidRPr="00AC5CCA" w:rsidTr="0060283F">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tabs>
                <w:tab w:val="left" w:pos="284"/>
              </w:tabs>
              <w:ind w:right="140"/>
              <w:jc w:val="both"/>
              <w:rPr>
                <w:b/>
                <w:lang w:val="en-US" w:eastAsia="en-US"/>
              </w:rPr>
            </w:pPr>
            <w:r w:rsidRPr="00AC5CCA">
              <w:rPr>
                <w:b/>
                <w:lang w:val="en-US" w:eastAsia="en-US"/>
              </w:rPr>
              <w:t>2.1 Quorum of meeting of issuer’s BoD and results of voting on the adopted decisions:</w:t>
            </w:r>
          </w:p>
          <w:p w:rsidR="00AC5CCA" w:rsidRPr="00AC5CCA" w:rsidRDefault="00AC5CCA" w:rsidP="0060283F">
            <w:pPr>
              <w:widowControl w:val="0"/>
              <w:ind w:right="140"/>
              <w:jc w:val="both"/>
              <w:rPr>
                <w:lang w:val="en-US" w:eastAsia="en-US"/>
              </w:rPr>
            </w:pPr>
            <w:r w:rsidRPr="00AC5CCA">
              <w:rPr>
                <w:lang w:val="en-US" w:eastAsia="en-US"/>
              </w:rPr>
              <w:t>Number of BoD members: 11 persons</w:t>
            </w:r>
          </w:p>
          <w:p w:rsidR="00AC5CCA" w:rsidRPr="00AC5CCA" w:rsidRDefault="00AC5CCA" w:rsidP="0060283F">
            <w:pPr>
              <w:tabs>
                <w:tab w:val="left" w:pos="284"/>
              </w:tabs>
              <w:ind w:right="140"/>
              <w:jc w:val="both"/>
              <w:rPr>
                <w:lang w:val="en-US" w:eastAsia="en-US"/>
              </w:rPr>
            </w:pPr>
            <w:r w:rsidRPr="00AC5CCA">
              <w:rPr>
                <w:lang w:val="en-US" w:eastAsia="en-US"/>
              </w:rPr>
              <w:t xml:space="preserve">Members participated in the meeting: 11 persons </w:t>
            </w:r>
          </w:p>
          <w:p w:rsidR="00AC5CCA" w:rsidRPr="00AC5CCA" w:rsidRDefault="00AC5CCA" w:rsidP="0060283F">
            <w:pPr>
              <w:tabs>
                <w:tab w:val="left" w:pos="284"/>
              </w:tabs>
              <w:ind w:right="140"/>
              <w:jc w:val="both"/>
              <w:rPr>
                <w:lang w:val="en-US" w:eastAsia="en-US"/>
              </w:rPr>
            </w:pPr>
            <w:r w:rsidRPr="00AC5CCA">
              <w:rPr>
                <w:lang w:val="en-US" w:eastAsia="en-US"/>
              </w:rPr>
              <w:t>Quorum necessary for holding the meeting of Kubanenergo JSC Board of Directors is present.</w:t>
            </w:r>
          </w:p>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AC5CCA" w:rsidRPr="00AC5CCA" w:rsidTr="0060283F">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center"/>
                    <w:rPr>
                      <w:rFonts w:ascii="Times New Roman" w:hAnsi="Times New Roman" w:cs="Times New Roman"/>
                      <w:sz w:val="24"/>
                      <w:szCs w:val="24"/>
                      <w:lang w:val="en-US"/>
                    </w:rPr>
                  </w:pPr>
                  <w:r w:rsidRPr="00AC5CCA">
                    <w:rPr>
                      <w:rFonts w:ascii="Times New Roman" w:hAnsi="Times New Roman" w:cs="Times New Roman"/>
                      <w:sz w:val="24"/>
                      <w:szCs w:val="24"/>
                      <w:lang w:val="en-US"/>
                    </w:rPr>
                    <w:t>Votes</w:t>
                  </w:r>
                </w:p>
              </w:tc>
            </w:tr>
            <w:tr w:rsidR="00AC5CCA" w:rsidRPr="00AC5CCA" w:rsidTr="0060283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CCA" w:rsidRPr="00AC5CCA" w:rsidRDefault="00AC5CCA" w:rsidP="0060283F">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center"/>
                    <w:rPr>
                      <w:rFonts w:ascii="Times New Roman" w:hAnsi="Times New Roman" w:cs="Times New Roman"/>
                      <w:b/>
                      <w:sz w:val="24"/>
                      <w:szCs w:val="24"/>
                      <w:lang w:val="en-US"/>
                    </w:rPr>
                  </w:pPr>
                  <w:r w:rsidRPr="00AC5CCA">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ABSTAINED</w:t>
                  </w:r>
                </w:p>
              </w:tc>
            </w:tr>
            <w:tr w:rsidR="00AC5CCA" w:rsidRPr="00AC5CCA"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p>
              </w:tc>
            </w:tr>
            <w:tr w:rsidR="00AC5CCA" w:rsidRPr="00AC5CCA"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p>
              </w:tc>
            </w:tr>
            <w:tr w:rsidR="00AC5CCA" w:rsidRPr="00AC5CCA"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1</w:t>
                  </w:r>
                </w:p>
              </w:tc>
            </w:tr>
            <w:tr w:rsidR="00AC5CCA" w:rsidRPr="00AC5CCA"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p>
              </w:tc>
            </w:tr>
            <w:tr w:rsidR="00AC5CCA" w:rsidRPr="00AC5CCA"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1</w:t>
                  </w:r>
                </w:p>
              </w:tc>
              <w:tc>
                <w:tcPr>
                  <w:tcW w:w="2161"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p>
              </w:tc>
            </w:tr>
            <w:tr w:rsidR="00AC5CCA" w:rsidRPr="00AC5CCA"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AC5CCA" w:rsidRPr="00AC5CCA" w:rsidRDefault="00AC5CCA" w:rsidP="0060283F">
                  <w:pPr>
                    <w:pStyle w:val="a5"/>
                    <w:jc w:val="center"/>
                    <w:rPr>
                      <w:rFonts w:ascii="Times New Roman" w:hAnsi="Times New Roman" w:cs="Times New Roman"/>
                      <w:b/>
                      <w:sz w:val="24"/>
                      <w:szCs w:val="24"/>
                    </w:rPr>
                  </w:pPr>
                  <w:r w:rsidRPr="00AC5CCA">
                    <w:rPr>
                      <w:rFonts w:ascii="Times New Roman" w:hAnsi="Times New Roman" w:cs="Times New Roman"/>
                      <w:b/>
                      <w:sz w:val="24"/>
                      <w:szCs w:val="24"/>
                    </w:rPr>
                    <w:t>2</w:t>
                  </w:r>
                </w:p>
              </w:tc>
            </w:tr>
          </w:tbl>
          <w:p w:rsidR="00AC5CCA" w:rsidRPr="00AC5CCA" w:rsidRDefault="00AC5CCA" w:rsidP="0060283F">
            <w:pPr>
              <w:tabs>
                <w:tab w:val="left" w:pos="3355"/>
              </w:tabs>
              <w:ind w:right="140"/>
              <w:jc w:val="both"/>
              <w:rPr>
                <w:lang w:val="en-US" w:eastAsia="en-US"/>
              </w:rPr>
            </w:pP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tabs>
                <w:tab w:val="left" w:pos="426"/>
                <w:tab w:val="left" w:pos="993"/>
              </w:tabs>
              <w:ind w:right="140"/>
              <w:jc w:val="center"/>
              <w:rPr>
                <w:b/>
                <w:lang w:val="en-US" w:eastAsia="en-US"/>
              </w:rPr>
            </w:pPr>
            <w:r w:rsidRPr="00AC5CCA">
              <w:rPr>
                <w:b/>
                <w:lang w:val="en-US" w:eastAsia="en-US"/>
              </w:rPr>
              <w:t>Disclosure of insider information on item No. 1 “</w:t>
            </w:r>
            <w:r w:rsidRPr="00AC5CCA">
              <w:rPr>
                <w:b/>
                <w:color w:val="000000"/>
                <w:lang w:val="en-US" w:eastAsia="en-US"/>
              </w:rPr>
              <w:t>On approval of Insurance Programme of Kubanenergo PJSC for 2016</w:t>
            </w:r>
            <w:r w:rsidRPr="00AC5CCA">
              <w:rPr>
                <w:b/>
                <w:lang w:val="en-US" w:eastAsia="en-US"/>
              </w:rPr>
              <w:t>”.</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2.2.1.  Decision adopted by issuer’s Board of Directors:</w:t>
            </w:r>
          </w:p>
          <w:p w:rsidR="00AC5CCA" w:rsidRPr="00AC5CCA" w:rsidRDefault="00AC5CCA" w:rsidP="00AC5CCA">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 xml:space="preserve">To approve the </w:t>
            </w:r>
            <w:r w:rsidRPr="00AC5CCA">
              <w:rPr>
                <w:rFonts w:ascii="Times New Roman" w:hAnsi="Times New Roman" w:cs="Times New Roman"/>
                <w:color w:val="000000"/>
                <w:sz w:val="24"/>
                <w:szCs w:val="24"/>
                <w:lang w:val="en-US"/>
              </w:rPr>
              <w:t>Insurance Programme of Kubanenergo PJSC for 2016, in accordance with Annex 2 to the resolution of the BoD.</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AC5CCA">
            <w:pPr>
              <w:pStyle w:val="a5"/>
              <w:ind w:right="140"/>
              <w:jc w:val="center"/>
              <w:rPr>
                <w:rFonts w:ascii="Times New Roman" w:hAnsi="Times New Roman" w:cs="Times New Roman"/>
                <w:b/>
                <w:sz w:val="24"/>
                <w:szCs w:val="24"/>
                <w:lang w:val="en-US"/>
              </w:rPr>
            </w:pPr>
            <w:r w:rsidRPr="00AC5CCA">
              <w:rPr>
                <w:rFonts w:ascii="Times New Roman" w:hAnsi="Times New Roman" w:cs="Times New Roman"/>
                <w:b/>
                <w:sz w:val="24"/>
                <w:szCs w:val="24"/>
                <w:lang w:val="en-US"/>
              </w:rPr>
              <w:t>Disclosure of insider information on item No. 2 “</w:t>
            </w:r>
            <w:r w:rsidRPr="00AC5CCA">
              <w:rPr>
                <w:rFonts w:ascii="Times New Roman" w:hAnsi="Times New Roman" w:cs="Times New Roman"/>
                <w:b/>
                <w:color w:val="000000"/>
                <w:sz w:val="24"/>
                <w:szCs w:val="24"/>
                <w:lang w:val="en-US"/>
              </w:rPr>
              <w:t xml:space="preserve">On approval of Kubanenergo PJSC Plan of activities for reduction of overdue accounts </w:t>
            </w:r>
            <w:r w:rsidRPr="00AC5CCA">
              <w:rPr>
                <w:rFonts w:ascii="Times New Roman" w:hAnsi="Times New Roman" w:cs="Times New Roman"/>
                <w:b/>
                <w:color w:val="000000"/>
                <w:sz w:val="24"/>
                <w:szCs w:val="24"/>
                <w:lang w:val="en-US"/>
              </w:rPr>
              <w:t>receivable</w:t>
            </w:r>
            <w:r w:rsidRPr="00AC5CCA">
              <w:rPr>
                <w:rFonts w:ascii="Times New Roman" w:hAnsi="Times New Roman" w:cs="Times New Roman"/>
                <w:b/>
                <w:color w:val="000000"/>
                <w:sz w:val="24"/>
                <w:szCs w:val="24"/>
                <w:lang w:val="en-US"/>
              </w:rPr>
              <w:t xml:space="preserve"> for electricity transmission services and settlement of disputes as of 01.10.2015</w:t>
            </w:r>
            <w:r w:rsidRPr="00AC5CCA">
              <w:rPr>
                <w:rFonts w:ascii="Times New Roman" w:hAnsi="Times New Roman" w:cs="Times New Roman"/>
                <w:b/>
                <w:sz w:val="24"/>
                <w:szCs w:val="24"/>
                <w:lang w:val="en-US"/>
              </w:rPr>
              <w:t>”.</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2.2.2.  Decision adopted by issuer’s Board of Directors:</w:t>
            </w:r>
          </w:p>
          <w:p w:rsidR="00AC5CCA" w:rsidRDefault="00AC5CCA" w:rsidP="00AC5CCA">
            <w:pPr>
              <w:ind w:right="140"/>
              <w:jc w:val="both"/>
              <w:rPr>
                <w:lang w:val="en-US"/>
              </w:rPr>
            </w:pPr>
            <w:r w:rsidRPr="00AC5CCA">
              <w:rPr>
                <w:lang w:val="en-US"/>
              </w:rPr>
              <w:t xml:space="preserve">1. To approve the Plan of activities of Kubanenergo PJSC on reduction of overdue accounts </w:t>
            </w:r>
            <w:r w:rsidRPr="00AC5CCA">
              <w:rPr>
                <w:color w:val="000000"/>
                <w:lang w:val="en-US"/>
              </w:rPr>
              <w:t>receivable</w:t>
            </w:r>
            <w:r w:rsidRPr="00AC5CCA">
              <w:rPr>
                <w:b/>
                <w:color w:val="000000"/>
                <w:lang w:val="en-US" w:eastAsia="en-US"/>
              </w:rPr>
              <w:t xml:space="preserve"> </w:t>
            </w:r>
            <w:r w:rsidRPr="00AC5CCA">
              <w:rPr>
                <w:lang w:val="en-US"/>
              </w:rPr>
              <w:t>for the services of energy transmission and settlement of disputes as of 01.</w:t>
            </w:r>
            <w:r>
              <w:rPr>
                <w:lang w:val="en-US"/>
              </w:rPr>
              <w:t>10</w:t>
            </w:r>
            <w:r w:rsidRPr="00AC5CCA">
              <w:rPr>
                <w:lang w:val="en-US"/>
              </w:rPr>
              <w:t xml:space="preserve">.2015, in accordance with Annex </w:t>
            </w:r>
            <w:r>
              <w:rPr>
                <w:lang w:val="en-US"/>
              </w:rPr>
              <w:t>2</w:t>
            </w:r>
            <w:r w:rsidRPr="00AC5CCA">
              <w:rPr>
                <w:lang w:val="en-US"/>
              </w:rPr>
              <w:t xml:space="preserve"> to the resolution of the BoD. </w:t>
            </w:r>
          </w:p>
          <w:p w:rsidR="00AC5CCA" w:rsidRDefault="00AC5CCA" w:rsidP="00AC5CCA">
            <w:pPr>
              <w:ind w:right="140"/>
              <w:jc w:val="both"/>
              <w:rPr>
                <w:lang w:val="en-US"/>
              </w:rPr>
            </w:pPr>
            <w:r w:rsidRPr="00AC5CCA">
              <w:rPr>
                <w:lang w:val="en-US"/>
              </w:rPr>
              <w:t xml:space="preserve">2. To take into consideration the Report on implementation of the previously approved by the BoD Plan of activities of Kubanenergo PJSC on reduction of overdue accounts </w:t>
            </w:r>
            <w:r w:rsidRPr="00AC5CCA">
              <w:rPr>
                <w:color w:val="000000"/>
                <w:lang w:val="en-US"/>
              </w:rPr>
              <w:t>receivable</w:t>
            </w:r>
            <w:r w:rsidRPr="00AC5CCA">
              <w:rPr>
                <w:b/>
                <w:color w:val="000000"/>
                <w:lang w:val="en-US" w:eastAsia="en-US"/>
              </w:rPr>
              <w:t xml:space="preserve"> </w:t>
            </w:r>
            <w:r w:rsidRPr="00AC5CCA">
              <w:rPr>
                <w:lang w:val="en-US"/>
              </w:rPr>
              <w:t>for the services of energy transmission and settlement of disputes as of 01.</w:t>
            </w:r>
            <w:r>
              <w:rPr>
                <w:lang w:val="en-US"/>
              </w:rPr>
              <w:t>07</w:t>
            </w:r>
            <w:r w:rsidRPr="00AC5CCA">
              <w:rPr>
                <w:lang w:val="en-US"/>
              </w:rPr>
              <w:t xml:space="preserve">.2015, in accordance with Annex </w:t>
            </w:r>
            <w:r>
              <w:rPr>
                <w:lang w:val="en-US"/>
              </w:rPr>
              <w:t>3</w:t>
            </w:r>
            <w:r w:rsidRPr="00AC5CCA">
              <w:rPr>
                <w:lang w:val="en-US"/>
              </w:rPr>
              <w:t xml:space="preserve"> to the resolution of the BoD. </w:t>
            </w:r>
          </w:p>
          <w:p w:rsidR="00AC5CCA" w:rsidRDefault="00AC5CCA" w:rsidP="00AC5CCA">
            <w:pPr>
              <w:ind w:right="140"/>
              <w:jc w:val="both"/>
              <w:rPr>
                <w:lang w:val="en-US"/>
              </w:rPr>
            </w:pPr>
            <w:r w:rsidRPr="00AC5CCA">
              <w:rPr>
                <w:lang w:val="en-US"/>
              </w:rPr>
              <w:t xml:space="preserve">3. To take into consideration the Report on works carried out by Kubanenergo in respect of the newly formed overdue accounts </w:t>
            </w:r>
            <w:r w:rsidR="001F322B" w:rsidRPr="00AC5CCA">
              <w:rPr>
                <w:color w:val="000000"/>
                <w:lang w:val="en-US"/>
              </w:rPr>
              <w:t>receivable</w:t>
            </w:r>
            <w:r w:rsidR="001F322B" w:rsidRPr="00AC5CCA">
              <w:rPr>
                <w:b/>
                <w:color w:val="000000"/>
                <w:lang w:val="en-US" w:eastAsia="en-US"/>
              </w:rPr>
              <w:t xml:space="preserve"> </w:t>
            </w:r>
            <w:r w:rsidRPr="00AC5CCA">
              <w:rPr>
                <w:lang w:val="en-US"/>
              </w:rPr>
              <w:t xml:space="preserve">for the services of energy transmission, in accordance with Annex </w:t>
            </w:r>
            <w:r>
              <w:rPr>
                <w:lang w:val="en-US"/>
              </w:rPr>
              <w:t>4</w:t>
            </w:r>
            <w:r w:rsidRPr="00AC5CCA">
              <w:rPr>
                <w:lang w:val="en-US"/>
              </w:rPr>
              <w:t xml:space="preserve"> to the resolution of the BoD.</w:t>
            </w:r>
          </w:p>
          <w:p w:rsidR="00AC5CCA" w:rsidRPr="00AC5CCA" w:rsidRDefault="00AC5CCA" w:rsidP="00AC5CCA">
            <w:pPr>
              <w:ind w:right="140"/>
              <w:jc w:val="both"/>
              <w:rPr>
                <w:lang w:val="en-US" w:eastAsia="en-US"/>
              </w:rPr>
            </w:pPr>
            <w:r>
              <w:rPr>
                <w:lang w:val="en-US"/>
              </w:rPr>
              <w:t>4. To instruct director general to ensure reduction of overdue account</w:t>
            </w:r>
            <w:r w:rsidR="001F322B">
              <w:rPr>
                <w:lang w:val="en-US"/>
              </w:rPr>
              <w:t xml:space="preserve">s </w:t>
            </w:r>
            <w:r w:rsidR="001F322B" w:rsidRPr="00AC5CCA">
              <w:rPr>
                <w:color w:val="000000"/>
                <w:lang w:val="en-US"/>
              </w:rPr>
              <w:t>receivable</w:t>
            </w:r>
            <w:r w:rsidR="001F322B">
              <w:rPr>
                <w:color w:val="000000"/>
                <w:lang w:val="en-US"/>
              </w:rPr>
              <w:t xml:space="preserve"> </w:t>
            </w:r>
            <w:r w:rsidR="001F322B">
              <w:rPr>
                <w:lang w:val="en-US"/>
              </w:rPr>
              <w:t>by the end of 2015 to level of below 1.4 billion rubles.</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center"/>
              <w:rPr>
                <w:rFonts w:ascii="Times New Roman" w:hAnsi="Times New Roman" w:cs="Times New Roman"/>
                <w:b/>
                <w:sz w:val="24"/>
                <w:szCs w:val="24"/>
                <w:lang w:val="en-US"/>
              </w:rPr>
            </w:pPr>
            <w:r w:rsidRPr="00AC5CCA">
              <w:rPr>
                <w:rFonts w:ascii="Times New Roman" w:hAnsi="Times New Roman" w:cs="Times New Roman"/>
                <w:b/>
                <w:sz w:val="24"/>
                <w:szCs w:val="24"/>
                <w:lang w:val="en-US"/>
              </w:rPr>
              <w:lastRenderedPageBreak/>
              <w:t>Disclosure of insider information on item No. 3 “</w:t>
            </w:r>
            <w:r w:rsidRPr="00AC5CCA">
              <w:rPr>
                <w:rFonts w:ascii="Times New Roman" w:hAnsi="Times New Roman" w:cs="Times New Roman"/>
                <w:b/>
                <w:color w:val="000000"/>
                <w:sz w:val="24"/>
                <w:szCs w:val="24"/>
                <w:lang w:val="en-US"/>
              </w:rPr>
              <w:t>On approval of amended Credit Plan of Kubanenergo PJSC for the 4</w:t>
            </w:r>
            <w:r w:rsidRPr="00AC5CCA">
              <w:rPr>
                <w:rFonts w:ascii="Times New Roman" w:hAnsi="Times New Roman" w:cs="Times New Roman"/>
                <w:b/>
                <w:color w:val="000000"/>
                <w:sz w:val="24"/>
                <w:szCs w:val="24"/>
                <w:vertAlign w:val="superscript"/>
                <w:lang w:val="en-US"/>
              </w:rPr>
              <w:t>th</w:t>
            </w:r>
            <w:r w:rsidRPr="00AC5CCA">
              <w:rPr>
                <w:rFonts w:ascii="Times New Roman" w:hAnsi="Times New Roman" w:cs="Times New Roman"/>
                <w:b/>
                <w:color w:val="000000"/>
                <w:sz w:val="24"/>
                <w:szCs w:val="24"/>
                <w:lang w:val="en-US"/>
              </w:rPr>
              <w:t xml:space="preserve"> quarter of 2015</w:t>
            </w:r>
            <w:r w:rsidRPr="00AC5CCA">
              <w:rPr>
                <w:rFonts w:ascii="Times New Roman" w:hAnsi="Times New Roman" w:cs="Times New Roman"/>
                <w:b/>
                <w:sz w:val="24"/>
                <w:szCs w:val="24"/>
                <w:lang w:val="en-US"/>
              </w:rPr>
              <w:t>”</w:t>
            </w:r>
          </w:p>
        </w:tc>
      </w:tr>
      <w:tr w:rsidR="00AC5CCA" w:rsidRPr="001F322B"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1F322B" w:rsidRDefault="00AC5CCA" w:rsidP="0060283F">
            <w:pPr>
              <w:pStyle w:val="a5"/>
              <w:ind w:right="140"/>
              <w:jc w:val="both"/>
              <w:rPr>
                <w:rFonts w:ascii="Times New Roman" w:hAnsi="Times New Roman" w:cs="Times New Roman"/>
                <w:sz w:val="24"/>
                <w:szCs w:val="24"/>
                <w:lang w:val="en-US"/>
              </w:rPr>
            </w:pPr>
            <w:r w:rsidRPr="001F322B">
              <w:rPr>
                <w:rFonts w:ascii="Times New Roman" w:hAnsi="Times New Roman" w:cs="Times New Roman"/>
                <w:sz w:val="24"/>
                <w:szCs w:val="24"/>
                <w:lang w:val="en-US"/>
              </w:rPr>
              <w:t>2.2.3.  Decision adopted by issuer’s Board of Directors:</w:t>
            </w:r>
          </w:p>
          <w:p w:rsidR="00AC5CCA" w:rsidRPr="001F322B" w:rsidRDefault="001F322B" w:rsidP="001F322B">
            <w:pPr>
              <w:tabs>
                <w:tab w:val="left" w:pos="34"/>
                <w:tab w:val="left" w:pos="264"/>
              </w:tabs>
              <w:adjustRightInd w:val="0"/>
              <w:ind w:right="140"/>
              <w:jc w:val="both"/>
              <w:outlineLvl w:val="3"/>
              <w:rPr>
                <w:lang w:val="en-US" w:eastAsia="en-US"/>
              </w:rPr>
            </w:pPr>
            <w:r w:rsidRPr="001F322B">
              <w:rPr>
                <w:lang w:val="en-US" w:eastAsia="en-US"/>
              </w:rPr>
              <w:t xml:space="preserve">To approve the </w:t>
            </w:r>
            <w:r w:rsidRPr="001F322B">
              <w:rPr>
                <w:color w:val="000000"/>
                <w:lang w:val="en-US" w:eastAsia="en-US"/>
              </w:rPr>
              <w:t>amended Credit Plan of Kubanenergo PJSC for the 4</w:t>
            </w:r>
            <w:r w:rsidRPr="001F322B">
              <w:rPr>
                <w:color w:val="000000"/>
                <w:vertAlign w:val="superscript"/>
                <w:lang w:val="en-US" w:eastAsia="en-US"/>
              </w:rPr>
              <w:t>th</w:t>
            </w:r>
            <w:r w:rsidRPr="001F322B">
              <w:rPr>
                <w:color w:val="000000"/>
                <w:lang w:val="en-US" w:eastAsia="en-US"/>
              </w:rPr>
              <w:t xml:space="preserve"> quarter of 201</w:t>
            </w:r>
            <w:r w:rsidRPr="001F322B">
              <w:rPr>
                <w:color w:val="000000"/>
                <w:lang w:val="en-US" w:eastAsia="en-US"/>
              </w:rPr>
              <w:t>5</w:t>
            </w:r>
            <w:r w:rsidRPr="001F322B">
              <w:rPr>
                <w:color w:val="000000"/>
                <w:lang w:val="en-US"/>
              </w:rPr>
              <w:t xml:space="preserve">, in accordance with Annex </w:t>
            </w:r>
            <w:r w:rsidRPr="001F322B">
              <w:rPr>
                <w:color w:val="000000"/>
                <w:lang w:val="en-US"/>
              </w:rPr>
              <w:t>5</w:t>
            </w:r>
            <w:r w:rsidRPr="001F322B">
              <w:rPr>
                <w:color w:val="000000"/>
                <w:lang w:val="en-US"/>
              </w:rPr>
              <w:t xml:space="preserve"> to the resolution of the BoD.</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center"/>
              <w:rPr>
                <w:rFonts w:ascii="Times New Roman" w:hAnsi="Times New Roman" w:cs="Times New Roman"/>
                <w:b/>
                <w:sz w:val="24"/>
                <w:szCs w:val="24"/>
                <w:lang w:val="en-US"/>
              </w:rPr>
            </w:pPr>
            <w:r w:rsidRPr="00AC5CCA">
              <w:rPr>
                <w:rFonts w:ascii="Times New Roman" w:hAnsi="Times New Roman" w:cs="Times New Roman"/>
                <w:b/>
                <w:sz w:val="24"/>
                <w:szCs w:val="24"/>
                <w:lang w:val="en-US"/>
              </w:rPr>
              <w:t>Disclosure of insider information on item No. 4 “</w:t>
            </w:r>
            <w:r w:rsidRPr="00AC5CCA">
              <w:rPr>
                <w:rFonts w:ascii="Times New Roman" w:hAnsi="Times New Roman" w:cs="Times New Roman"/>
                <w:b/>
                <w:color w:val="000000"/>
                <w:sz w:val="24"/>
                <w:szCs w:val="24"/>
                <w:lang w:val="en-US"/>
              </w:rPr>
              <w:t>On taking into consideration the report of Director general of Kubanenergo PJSC on Company’s credit policy in the 3</w:t>
            </w:r>
            <w:r w:rsidRPr="00AC5CCA">
              <w:rPr>
                <w:rFonts w:ascii="Times New Roman" w:hAnsi="Times New Roman" w:cs="Times New Roman"/>
                <w:b/>
                <w:color w:val="000000"/>
                <w:sz w:val="24"/>
                <w:szCs w:val="24"/>
                <w:vertAlign w:val="superscript"/>
                <w:lang w:val="en-US"/>
              </w:rPr>
              <w:t>rd</w:t>
            </w:r>
            <w:r w:rsidRPr="00AC5CCA">
              <w:rPr>
                <w:rFonts w:ascii="Times New Roman" w:hAnsi="Times New Roman" w:cs="Times New Roman"/>
                <w:b/>
                <w:color w:val="000000"/>
                <w:sz w:val="24"/>
                <w:szCs w:val="24"/>
                <w:lang w:val="en-US"/>
              </w:rPr>
              <w:t xml:space="preserve"> quarter of 2015</w:t>
            </w:r>
            <w:r w:rsidRPr="00AC5CCA">
              <w:rPr>
                <w:rFonts w:ascii="Times New Roman" w:hAnsi="Times New Roman" w:cs="Times New Roman"/>
                <w:b/>
                <w:sz w:val="24"/>
                <w:szCs w:val="24"/>
                <w:lang w:val="en-US"/>
              </w:rPr>
              <w:t>”</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1F322B" w:rsidRDefault="00AC5CCA" w:rsidP="0060283F">
            <w:pPr>
              <w:pStyle w:val="a5"/>
              <w:ind w:right="140"/>
              <w:jc w:val="both"/>
              <w:rPr>
                <w:rFonts w:ascii="Times New Roman" w:hAnsi="Times New Roman" w:cs="Times New Roman"/>
                <w:sz w:val="24"/>
                <w:szCs w:val="24"/>
                <w:lang w:val="en-US"/>
              </w:rPr>
            </w:pPr>
            <w:r w:rsidRPr="001F322B">
              <w:rPr>
                <w:rFonts w:ascii="Times New Roman" w:hAnsi="Times New Roman" w:cs="Times New Roman"/>
                <w:sz w:val="24"/>
                <w:szCs w:val="24"/>
                <w:lang w:val="en-US"/>
              </w:rPr>
              <w:t>2.2.4.  Decision adopted by issuer’s Board of Directors:</w:t>
            </w:r>
          </w:p>
          <w:p w:rsidR="00AC5CCA" w:rsidRPr="001F322B" w:rsidRDefault="00AC5CCA" w:rsidP="001F322B">
            <w:pPr>
              <w:pStyle w:val="a5"/>
              <w:ind w:right="140"/>
              <w:jc w:val="both"/>
              <w:rPr>
                <w:rFonts w:ascii="Times New Roman" w:hAnsi="Times New Roman" w:cs="Times New Roman"/>
                <w:sz w:val="24"/>
                <w:szCs w:val="24"/>
                <w:lang w:val="en-US"/>
              </w:rPr>
            </w:pPr>
            <w:r w:rsidRPr="001F322B">
              <w:rPr>
                <w:rFonts w:ascii="Times New Roman" w:hAnsi="Times New Roman" w:cs="Times New Roman"/>
                <w:sz w:val="24"/>
                <w:szCs w:val="24"/>
                <w:lang w:val="en-US"/>
              </w:rPr>
              <w:t xml:space="preserve"> To </w:t>
            </w:r>
            <w:r w:rsidR="001F322B" w:rsidRPr="001F322B">
              <w:rPr>
                <w:rFonts w:ascii="Times New Roman" w:hAnsi="Times New Roman" w:cs="Times New Roman"/>
                <w:sz w:val="24"/>
                <w:szCs w:val="24"/>
                <w:lang w:val="en-US"/>
              </w:rPr>
              <w:t xml:space="preserve">take </w:t>
            </w:r>
            <w:r w:rsidR="001F322B" w:rsidRPr="001F322B">
              <w:rPr>
                <w:rFonts w:ascii="Times New Roman" w:hAnsi="Times New Roman" w:cs="Times New Roman"/>
                <w:color w:val="000000"/>
                <w:sz w:val="24"/>
                <w:szCs w:val="24"/>
                <w:lang w:val="en-US"/>
              </w:rPr>
              <w:t>into consideration the report of Director general of Kubanenergo PJSC on Company’s credit policy in the 3</w:t>
            </w:r>
            <w:r w:rsidR="001F322B" w:rsidRPr="001F322B">
              <w:rPr>
                <w:rFonts w:ascii="Times New Roman" w:hAnsi="Times New Roman" w:cs="Times New Roman"/>
                <w:color w:val="000000"/>
                <w:sz w:val="24"/>
                <w:szCs w:val="24"/>
                <w:vertAlign w:val="superscript"/>
                <w:lang w:val="en-US"/>
              </w:rPr>
              <w:t>rd</w:t>
            </w:r>
            <w:r w:rsidR="001F322B" w:rsidRPr="001F322B">
              <w:rPr>
                <w:rFonts w:ascii="Times New Roman" w:hAnsi="Times New Roman" w:cs="Times New Roman"/>
                <w:color w:val="000000"/>
                <w:sz w:val="24"/>
                <w:szCs w:val="24"/>
                <w:lang w:val="en-US"/>
              </w:rPr>
              <w:t xml:space="preserve"> quarter of 2015</w:t>
            </w:r>
            <w:r w:rsidRPr="001F322B">
              <w:rPr>
                <w:rFonts w:ascii="Times New Roman" w:hAnsi="Times New Roman" w:cs="Times New Roman"/>
                <w:color w:val="000000"/>
                <w:sz w:val="24"/>
                <w:szCs w:val="24"/>
                <w:lang w:val="en-US"/>
              </w:rPr>
              <w:t xml:space="preserve">, in accordance with Annex </w:t>
            </w:r>
            <w:r w:rsidR="001F322B" w:rsidRPr="001F322B">
              <w:rPr>
                <w:rFonts w:ascii="Times New Roman" w:hAnsi="Times New Roman" w:cs="Times New Roman"/>
                <w:color w:val="000000"/>
                <w:sz w:val="24"/>
                <w:szCs w:val="24"/>
                <w:lang w:val="en-US"/>
              </w:rPr>
              <w:t>6</w:t>
            </w:r>
            <w:r w:rsidRPr="001F322B">
              <w:rPr>
                <w:rFonts w:ascii="Times New Roman" w:hAnsi="Times New Roman" w:cs="Times New Roman"/>
                <w:color w:val="000000"/>
                <w:sz w:val="24"/>
                <w:szCs w:val="24"/>
                <w:lang w:val="en-US"/>
              </w:rPr>
              <w:t xml:space="preserve"> to the resolution of the BoD.</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center"/>
              <w:rPr>
                <w:rFonts w:ascii="Times New Roman" w:hAnsi="Times New Roman" w:cs="Times New Roman"/>
                <w:b/>
                <w:sz w:val="24"/>
                <w:szCs w:val="24"/>
                <w:lang w:val="en-US"/>
              </w:rPr>
            </w:pPr>
            <w:r w:rsidRPr="00AC5CCA">
              <w:rPr>
                <w:rFonts w:ascii="Times New Roman" w:hAnsi="Times New Roman" w:cs="Times New Roman"/>
                <w:b/>
                <w:sz w:val="24"/>
                <w:szCs w:val="24"/>
                <w:lang w:val="en-US"/>
              </w:rPr>
              <w:t>Disclosure of insider information on item No. 5 “</w:t>
            </w:r>
            <w:r w:rsidRPr="00AC5CCA">
              <w:rPr>
                <w:rFonts w:ascii="Times New Roman" w:hAnsi="Times New Roman" w:cs="Times New Roman"/>
                <w:b/>
                <w:color w:val="000000"/>
                <w:sz w:val="24"/>
                <w:szCs w:val="24"/>
                <w:lang w:val="en-US"/>
              </w:rPr>
              <w:t xml:space="preserve">On approval of Settlement agreement between Kubanenergo PJSC and </w:t>
            </w:r>
            <w:proofErr w:type="spellStart"/>
            <w:r w:rsidRPr="00AC5CCA">
              <w:rPr>
                <w:rFonts w:ascii="Times New Roman" w:hAnsi="Times New Roman" w:cs="Times New Roman"/>
                <w:b/>
                <w:color w:val="000000"/>
                <w:sz w:val="24"/>
                <w:szCs w:val="24"/>
                <w:lang w:val="en-US"/>
              </w:rPr>
              <w:t>Lenenergo</w:t>
            </w:r>
            <w:proofErr w:type="spellEnd"/>
            <w:r w:rsidRPr="00AC5CCA">
              <w:rPr>
                <w:rFonts w:ascii="Times New Roman" w:hAnsi="Times New Roman" w:cs="Times New Roman"/>
                <w:b/>
                <w:color w:val="000000"/>
                <w:sz w:val="24"/>
                <w:szCs w:val="24"/>
                <w:lang w:val="en-US"/>
              </w:rPr>
              <w:t xml:space="preserve"> PJSC as an interested-party transaction</w:t>
            </w:r>
            <w:r w:rsidRPr="00AC5CCA">
              <w:rPr>
                <w:rFonts w:ascii="Times New Roman" w:hAnsi="Times New Roman" w:cs="Times New Roman"/>
                <w:b/>
                <w:sz w:val="24"/>
                <w:szCs w:val="24"/>
                <w:lang w:val="en-US"/>
              </w:rPr>
              <w:t>”</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2.2.5.  Decision adopted by issuer’s Board of Directors:</w:t>
            </w:r>
          </w:p>
          <w:p w:rsidR="00631938" w:rsidRPr="00631938" w:rsidRDefault="00631938" w:rsidP="00631938">
            <w:pPr>
              <w:tabs>
                <w:tab w:val="left" w:pos="204"/>
              </w:tabs>
              <w:ind w:right="140"/>
              <w:jc w:val="both"/>
              <w:rPr>
                <w:lang w:val="en-US" w:eastAsia="en-US"/>
              </w:rPr>
            </w:pPr>
            <w:r w:rsidRPr="00631938">
              <w:rPr>
                <w:lang w:val="en-US" w:eastAsia="en-US"/>
              </w:rPr>
              <w:t xml:space="preserve">1. </w:t>
            </w:r>
            <w:r>
              <w:rPr>
                <w:lang w:val="en-US" w:eastAsia="en-US"/>
              </w:rPr>
              <w:t>To d</w:t>
            </w:r>
            <w:r w:rsidRPr="00631938">
              <w:rPr>
                <w:lang w:val="en-US" w:eastAsia="en-US"/>
              </w:rPr>
              <w:t xml:space="preserve">etermine the price of the Settlement Agreement between </w:t>
            </w:r>
            <w:r>
              <w:rPr>
                <w:lang w:val="en-US" w:eastAsia="en-US"/>
              </w:rPr>
              <w:t>“</w:t>
            </w:r>
            <w:r w:rsidRPr="00631938">
              <w:rPr>
                <w:lang w:val="en-US" w:eastAsia="en-US"/>
              </w:rPr>
              <w:t>Kubanenergo</w:t>
            </w:r>
            <w:r>
              <w:rPr>
                <w:lang w:val="en-US" w:eastAsia="en-US"/>
              </w:rPr>
              <w:t xml:space="preserve">” PJSC and </w:t>
            </w:r>
            <w:r w:rsidRPr="00631938">
              <w:rPr>
                <w:lang w:val="en-US" w:eastAsia="en-US"/>
              </w:rPr>
              <w:t xml:space="preserve"> </w:t>
            </w:r>
            <w:r>
              <w:rPr>
                <w:lang w:val="en-US" w:eastAsia="en-US"/>
              </w:rPr>
              <w:t>“</w:t>
            </w:r>
            <w:proofErr w:type="spellStart"/>
            <w:r w:rsidRPr="00631938">
              <w:rPr>
                <w:lang w:val="en-US" w:eastAsia="en-US"/>
              </w:rPr>
              <w:t>Lenenergo</w:t>
            </w:r>
            <w:proofErr w:type="spellEnd"/>
            <w:r>
              <w:rPr>
                <w:lang w:val="en-US" w:eastAsia="en-US"/>
              </w:rPr>
              <w:t>” PJSC</w:t>
            </w:r>
            <w:r w:rsidRPr="00631938">
              <w:rPr>
                <w:lang w:val="en-US" w:eastAsia="en-US"/>
              </w:rPr>
              <w:t xml:space="preserve"> as a</w:t>
            </w:r>
            <w:r>
              <w:rPr>
                <w:lang w:val="en-US" w:eastAsia="en-US"/>
              </w:rPr>
              <w:t>n interested-party</w:t>
            </w:r>
            <w:r w:rsidRPr="00631938">
              <w:rPr>
                <w:lang w:val="en-US" w:eastAsia="en-US"/>
              </w:rPr>
              <w:t xml:space="preserve"> transaction in the amount of 28 014 319.56 (twenty eight million fourteen thousand three hundred nineteen) rubles 56 kopecks, including VAT, including the amount owed under the contract </w:t>
            </w:r>
            <w:r>
              <w:rPr>
                <w:lang w:val="en-US" w:eastAsia="en-US"/>
              </w:rPr>
              <w:t>No.</w:t>
            </w:r>
            <w:r w:rsidRPr="00631938">
              <w:rPr>
                <w:lang w:val="en-US" w:eastAsia="en-US"/>
              </w:rPr>
              <w:t>13-14725</w:t>
            </w:r>
            <w:r>
              <w:rPr>
                <w:lang w:val="en-US" w:eastAsia="en-US"/>
              </w:rPr>
              <w:t>/</w:t>
            </w:r>
            <w:r w:rsidRPr="00631938">
              <w:rPr>
                <w:lang w:val="en-US" w:eastAsia="en-US"/>
              </w:rPr>
              <w:t>407</w:t>
            </w:r>
            <w:r>
              <w:rPr>
                <w:lang w:val="en-US" w:eastAsia="en-US"/>
              </w:rPr>
              <w:t>/</w:t>
            </w:r>
            <w:r w:rsidRPr="00631938">
              <w:rPr>
                <w:lang w:val="en-US" w:eastAsia="en-US"/>
              </w:rPr>
              <w:t xml:space="preserve">30-27 </w:t>
            </w:r>
            <w:r>
              <w:rPr>
                <w:lang w:val="en-US" w:eastAsia="en-US"/>
              </w:rPr>
              <w:t>dated</w:t>
            </w:r>
            <w:r w:rsidRPr="00631938">
              <w:rPr>
                <w:lang w:val="en-US" w:eastAsia="en-US"/>
              </w:rPr>
              <w:t xml:space="preserve"> 21.01.2014 in the amount of 24 929 386.27 (twenty-four million nine hundred twenty</w:t>
            </w:r>
            <w:r>
              <w:rPr>
                <w:lang w:val="en-US" w:eastAsia="en-US"/>
              </w:rPr>
              <w:t xml:space="preserve"> </w:t>
            </w:r>
            <w:r w:rsidRPr="00631938">
              <w:rPr>
                <w:lang w:val="en-US" w:eastAsia="en-US"/>
              </w:rPr>
              <w:t>nine thousand three hundred eighty</w:t>
            </w:r>
            <w:r>
              <w:rPr>
                <w:lang w:val="en-US" w:eastAsia="en-US"/>
              </w:rPr>
              <w:t xml:space="preserve"> </w:t>
            </w:r>
            <w:r w:rsidRPr="00631938">
              <w:rPr>
                <w:lang w:val="en-US" w:eastAsia="en-US"/>
              </w:rPr>
              <w:t xml:space="preserve">six) rubles 27 kopecks; </w:t>
            </w:r>
            <w:r>
              <w:rPr>
                <w:lang w:val="en-US" w:eastAsia="en-US"/>
              </w:rPr>
              <w:t xml:space="preserve">interest </w:t>
            </w:r>
            <w:r w:rsidRPr="00631938">
              <w:rPr>
                <w:lang w:val="en-US" w:eastAsia="en-US"/>
              </w:rPr>
              <w:t>accrued from the date of the signing of the Settlement on borrowed funds in the amount of 1</w:t>
            </w:r>
            <w:r>
              <w:rPr>
                <w:lang w:val="en-US" w:eastAsia="en-US"/>
              </w:rPr>
              <w:t xml:space="preserve"> 308 </w:t>
            </w:r>
            <w:r w:rsidRPr="00631938">
              <w:rPr>
                <w:lang w:val="en-US" w:eastAsia="en-US"/>
              </w:rPr>
              <w:t>195</w:t>
            </w:r>
            <w:r>
              <w:rPr>
                <w:lang w:val="en-US" w:eastAsia="en-US"/>
              </w:rPr>
              <w:t>.</w:t>
            </w:r>
            <w:r w:rsidRPr="00631938">
              <w:rPr>
                <w:lang w:val="en-US" w:eastAsia="en-US"/>
              </w:rPr>
              <w:t>16 (one million three hundred and eight thousand one hundred ninety</w:t>
            </w:r>
            <w:r>
              <w:rPr>
                <w:lang w:val="en-US" w:eastAsia="en-US"/>
              </w:rPr>
              <w:t xml:space="preserve"> </w:t>
            </w:r>
            <w:r w:rsidRPr="00631938">
              <w:rPr>
                <w:lang w:val="en-US" w:eastAsia="en-US"/>
              </w:rPr>
              <w:t>five) rubles 16 kopecks; the amount of interest for the use of borrowed funds by the court in the amount of 1</w:t>
            </w:r>
            <w:r>
              <w:rPr>
                <w:lang w:val="en-US" w:eastAsia="en-US"/>
              </w:rPr>
              <w:t> </w:t>
            </w:r>
            <w:r w:rsidRPr="00631938">
              <w:rPr>
                <w:lang w:val="en-US" w:eastAsia="en-US"/>
              </w:rPr>
              <w:t>776</w:t>
            </w:r>
            <w:r>
              <w:rPr>
                <w:lang w:val="en-US" w:eastAsia="en-US"/>
              </w:rPr>
              <w:t> </w:t>
            </w:r>
            <w:r w:rsidRPr="00631938">
              <w:rPr>
                <w:lang w:val="en-US" w:eastAsia="en-US"/>
              </w:rPr>
              <w:t>738</w:t>
            </w:r>
            <w:r>
              <w:rPr>
                <w:lang w:val="en-US" w:eastAsia="en-US"/>
              </w:rPr>
              <w:t>.</w:t>
            </w:r>
            <w:r w:rsidRPr="00631938">
              <w:rPr>
                <w:lang w:val="en-US" w:eastAsia="en-US"/>
              </w:rPr>
              <w:t>13 (one million seven hundred seventy</w:t>
            </w:r>
            <w:r>
              <w:rPr>
                <w:lang w:val="en-US" w:eastAsia="en-US"/>
              </w:rPr>
              <w:t xml:space="preserve"> </w:t>
            </w:r>
            <w:r w:rsidRPr="00631938">
              <w:rPr>
                <w:lang w:val="en-US" w:eastAsia="en-US"/>
              </w:rPr>
              <w:t>six thousand seven hundred thirty</w:t>
            </w:r>
            <w:r>
              <w:rPr>
                <w:lang w:val="en-US" w:eastAsia="en-US"/>
              </w:rPr>
              <w:t xml:space="preserve"> </w:t>
            </w:r>
            <w:r w:rsidRPr="00631938">
              <w:rPr>
                <w:lang w:val="en-US" w:eastAsia="en-US"/>
              </w:rPr>
              <w:t>eight) rubles 13 kopecks.</w:t>
            </w:r>
          </w:p>
          <w:p w:rsidR="00631938" w:rsidRPr="00631938" w:rsidRDefault="00631938" w:rsidP="00631938">
            <w:pPr>
              <w:tabs>
                <w:tab w:val="left" w:pos="204"/>
              </w:tabs>
              <w:ind w:right="140"/>
              <w:jc w:val="both"/>
              <w:rPr>
                <w:lang w:val="en-US" w:eastAsia="en-US"/>
              </w:rPr>
            </w:pPr>
            <w:r w:rsidRPr="00631938">
              <w:rPr>
                <w:lang w:val="en-US" w:eastAsia="en-US"/>
              </w:rPr>
              <w:t xml:space="preserve">2. To approve the Settlement Agreement between </w:t>
            </w:r>
            <w:r>
              <w:rPr>
                <w:lang w:val="en-US" w:eastAsia="en-US"/>
              </w:rPr>
              <w:t>“</w:t>
            </w:r>
            <w:r w:rsidRPr="00631938">
              <w:rPr>
                <w:lang w:val="en-US" w:eastAsia="en-US"/>
              </w:rPr>
              <w:t>Kubanenergo</w:t>
            </w:r>
            <w:r>
              <w:rPr>
                <w:lang w:val="en-US" w:eastAsia="en-US"/>
              </w:rPr>
              <w:t xml:space="preserve">” PJSC and </w:t>
            </w:r>
            <w:r w:rsidRPr="00631938">
              <w:rPr>
                <w:lang w:val="en-US" w:eastAsia="en-US"/>
              </w:rPr>
              <w:t xml:space="preserve"> </w:t>
            </w:r>
            <w:r>
              <w:rPr>
                <w:lang w:val="en-US" w:eastAsia="en-US"/>
              </w:rPr>
              <w:t>“</w:t>
            </w:r>
            <w:proofErr w:type="spellStart"/>
            <w:r w:rsidRPr="00631938">
              <w:rPr>
                <w:lang w:val="en-US" w:eastAsia="en-US"/>
              </w:rPr>
              <w:t>Lenenergo</w:t>
            </w:r>
            <w:proofErr w:type="spellEnd"/>
            <w:r>
              <w:rPr>
                <w:lang w:val="en-US" w:eastAsia="en-US"/>
              </w:rPr>
              <w:t>” PJSC</w:t>
            </w:r>
            <w:r w:rsidRPr="00631938">
              <w:rPr>
                <w:lang w:val="en-US" w:eastAsia="en-US"/>
              </w:rPr>
              <w:t xml:space="preserve"> as a</w:t>
            </w:r>
            <w:r>
              <w:rPr>
                <w:lang w:val="en-US" w:eastAsia="en-US"/>
              </w:rPr>
              <w:t>n interested-party</w:t>
            </w:r>
            <w:r w:rsidRPr="00631938">
              <w:rPr>
                <w:lang w:val="en-US" w:eastAsia="en-US"/>
              </w:rPr>
              <w:t xml:space="preserve"> transaction on the following essential terms:</w:t>
            </w:r>
          </w:p>
          <w:p w:rsidR="00631938" w:rsidRPr="00631938" w:rsidRDefault="00631938" w:rsidP="00631938">
            <w:pPr>
              <w:tabs>
                <w:tab w:val="left" w:pos="204"/>
              </w:tabs>
              <w:ind w:right="140"/>
              <w:jc w:val="both"/>
              <w:rPr>
                <w:lang w:val="en-US" w:eastAsia="en-US"/>
              </w:rPr>
            </w:pPr>
            <w:r w:rsidRPr="00631938">
              <w:rPr>
                <w:lang w:val="en-US" w:eastAsia="en-US"/>
              </w:rPr>
              <w:t>Parties to the Settlement Agreement:</w:t>
            </w:r>
          </w:p>
          <w:p w:rsidR="00631938" w:rsidRPr="00631938" w:rsidRDefault="00631938" w:rsidP="00631938">
            <w:pPr>
              <w:tabs>
                <w:tab w:val="left" w:pos="204"/>
              </w:tabs>
              <w:ind w:right="140"/>
              <w:jc w:val="both"/>
              <w:rPr>
                <w:lang w:val="en-US" w:eastAsia="en-US"/>
              </w:rPr>
            </w:pPr>
            <w:r w:rsidRPr="00631938">
              <w:rPr>
                <w:lang w:val="en-US" w:eastAsia="en-US"/>
              </w:rPr>
              <w:t>Plaintiff</w:t>
            </w:r>
            <w:r>
              <w:rPr>
                <w:lang w:val="en-US" w:eastAsia="en-US"/>
              </w:rPr>
              <w:t xml:space="preserve"> </w:t>
            </w:r>
            <w:r w:rsidRPr="00631938">
              <w:rPr>
                <w:lang w:val="en-US" w:eastAsia="en-US"/>
              </w:rPr>
              <w:t>-</w:t>
            </w:r>
            <w:r>
              <w:rPr>
                <w:lang w:val="en-US" w:eastAsia="en-US"/>
              </w:rPr>
              <w:t xml:space="preserve"> </w:t>
            </w:r>
            <w:r>
              <w:rPr>
                <w:lang w:val="en-US" w:eastAsia="en-US"/>
              </w:rPr>
              <w:t>“</w:t>
            </w:r>
            <w:proofErr w:type="spellStart"/>
            <w:r w:rsidRPr="00631938">
              <w:rPr>
                <w:lang w:val="en-US" w:eastAsia="en-US"/>
              </w:rPr>
              <w:t>Lenenergo</w:t>
            </w:r>
            <w:proofErr w:type="spellEnd"/>
            <w:r>
              <w:rPr>
                <w:lang w:val="en-US" w:eastAsia="en-US"/>
              </w:rPr>
              <w:t>” PJSC</w:t>
            </w:r>
            <w:r w:rsidRPr="00631938">
              <w:rPr>
                <w:lang w:val="en-US" w:eastAsia="en-US"/>
              </w:rPr>
              <w:t xml:space="preserve"> </w:t>
            </w:r>
          </w:p>
          <w:p w:rsidR="00631938" w:rsidRPr="00631938" w:rsidRDefault="00631938" w:rsidP="00631938">
            <w:pPr>
              <w:tabs>
                <w:tab w:val="left" w:pos="204"/>
              </w:tabs>
              <w:ind w:right="140"/>
              <w:jc w:val="both"/>
              <w:rPr>
                <w:lang w:val="en-US" w:eastAsia="en-US"/>
              </w:rPr>
            </w:pPr>
            <w:r>
              <w:rPr>
                <w:lang w:val="en-US" w:eastAsia="en-US"/>
              </w:rPr>
              <w:t>D</w:t>
            </w:r>
            <w:r w:rsidRPr="00631938">
              <w:rPr>
                <w:lang w:val="en-US" w:eastAsia="en-US"/>
              </w:rPr>
              <w:t xml:space="preserve">efendant - </w:t>
            </w:r>
            <w:r>
              <w:rPr>
                <w:lang w:val="en-US" w:eastAsia="en-US"/>
              </w:rPr>
              <w:t>“</w:t>
            </w:r>
            <w:r w:rsidRPr="00631938">
              <w:rPr>
                <w:lang w:val="en-US" w:eastAsia="en-US"/>
              </w:rPr>
              <w:t>Kubanenergo</w:t>
            </w:r>
            <w:r>
              <w:rPr>
                <w:lang w:val="en-US" w:eastAsia="en-US"/>
              </w:rPr>
              <w:t>” PJSC</w:t>
            </w:r>
          </w:p>
          <w:p w:rsidR="00631938" w:rsidRPr="00631938" w:rsidRDefault="00631938" w:rsidP="00631938">
            <w:pPr>
              <w:tabs>
                <w:tab w:val="left" w:pos="204"/>
              </w:tabs>
              <w:ind w:right="140"/>
              <w:jc w:val="both"/>
              <w:rPr>
                <w:lang w:val="en-US" w:eastAsia="en-US"/>
              </w:rPr>
            </w:pPr>
            <w:r w:rsidRPr="00631938">
              <w:rPr>
                <w:lang w:val="en-US" w:eastAsia="en-US"/>
              </w:rPr>
              <w:t xml:space="preserve">Subject of </w:t>
            </w:r>
            <w:r>
              <w:rPr>
                <w:lang w:val="en-US" w:eastAsia="en-US"/>
              </w:rPr>
              <w:t xml:space="preserve">the </w:t>
            </w:r>
            <w:r w:rsidRPr="00631938">
              <w:rPr>
                <w:lang w:val="en-US" w:eastAsia="en-US"/>
              </w:rPr>
              <w:t>Settlement</w:t>
            </w:r>
            <w:r w:rsidRPr="00631938">
              <w:rPr>
                <w:lang w:val="en-US" w:eastAsia="en-US"/>
              </w:rPr>
              <w:t xml:space="preserve"> </w:t>
            </w:r>
            <w:r w:rsidRPr="00631938">
              <w:rPr>
                <w:lang w:val="en-US" w:eastAsia="en-US"/>
              </w:rPr>
              <w:t xml:space="preserve">Agreement: </w:t>
            </w:r>
            <w:r w:rsidR="00D15D20">
              <w:rPr>
                <w:lang w:val="en-US" w:eastAsia="en-US"/>
              </w:rPr>
              <w:t xml:space="preserve">the Defendant by 30.06.2016 </w:t>
            </w:r>
            <w:r w:rsidRPr="00631938">
              <w:rPr>
                <w:lang w:val="en-US" w:eastAsia="en-US"/>
              </w:rPr>
              <w:t>pays</w:t>
            </w:r>
            <w:r w:rsidR="00D15D20">
              <w:rPr>
                <w:lang w:val="en-US" w:eastAsia="en-US"/>
              </w:rPr>
              <w:t xml:space="preserve"> to the </w:t>
            </w:r>
            <w:r w:rsidR="00D15D20">
              <w:rPr>
                <w:lang w:val="en-US" w:eastAsia="en-US"/>
              </w:rPr>
              <w:t>Plaintiff</w:t>
            </w:r>
            <w:r w:rsidRPr="00631938">
              <w:rPr>
                <w:lang w:val="en-US" w:eastAsia="en-US"/>
              </w:rPr>
              <w:t xml:space="preserve"> the amount owed under the contract</w:t>
            </w:r>
            <w:r w:rsidR="00D15D20">
              <w:rPr>
                <w:lang w:val="en-US" w:eastAsia="en-US"/>
              </w:rPr>
              <w:t xml:space="preserve"> No.</w:t>
            </w:r>
            <w:r w:rsidR="00D15D20" w:rsidRPr="00631938">
              <w:rPr>
                <w:lang w:val="en-US" w:eastAsia="en-US"/>
              </w:rPr>
              <w:t>13-14725</w:t>
            </w:r>
            <w:r w:rsidR="00D15D20">
              <w:rPr>
                <w:lang w:val="en-US" w:eastAsia="en-US"/>
              </w:rPr>
              <w:t>/</w:t>
            </w:r>
            <w:r w:rsidR="00D15D20" w:rsidRPr="00631938">
              <w:rPr>
                <w:lang w:val="en-US" w:eastAsia="en-US"/>
              </w:rPr>
              <w:t>407</w:t>
            </w:r>
            <w:r w:rsidR="00D15D20">
              <w:rPr>
                <w:lang w:val="en-US" w:eastAsia="en-US"/>
              </w:rPr>
              <w:t>/</w:t>
            </w:r>
            <w:r w:rsidR="00D15D20" w:rsidRPr="00631938">
              <w:rPr>
                <w:lang w:val="en-US" w:eastAsia="en-US"/>
              </w:rPr>
              <w:t>30-</w:t>
            </w:r>
            <w:r w:rsidR="00D15D20" w:rsidRPr="00631938">
              <w:rPr>
                <w:lang w:val="en-US" w:eastAsia="en-US"/>
              </w:rPr>
              <w:t>27 from</w:t>
            </w:r>
            <w:r w:rsidRPr="00631938">
              <w:rPr>
                <w:lang w:val="en-US" w:eastAsia="en-US"/>
              </w:rPr>
              <w:t xml:space="preserve"> 21.01.2014 in the amount of 24</w:t>
            </w:r>
            <w:r w:rsidR="00D15D20">
              <w:rPr>
                <w:lang w:val="en-US" w:eastAsia="en-US"/>
              </w:rPr>
              <w:t> </w:t>
            </w:r>
            <w:r w:rsidRPr="00631938">
              <w:rPr>
                <w:lang w:val="en-US" w:eastAsia="en-US"/>
              </w:rPr>
              <w:t>929</w:t>
            </w:r>
            <w:r w:rsidR="00D15D20">
              <w:rPr>
                <w:lang w:val="en-US" w:eastAsia="en-US"/>
              </w:rPr>
              <w:t> </w:t>
            </w:r>
            <w:r w:rsidRPr="00631938">
              <w:rPr>
                <w:lang w:val="en-US" w:eastAsia="en-US"/>
              </w:rPr>
              <w:t>386</w:t>
            </w:r>
            <w:r w:rsidR="00D15D20">
              <w:rPr>
                <w:lang w:val="en-US" w:eastAsia="en-US"/>
              </w:rPr>
              <w:t xml:space="preserve"> rubles </w:t>
            </w:r>
            <w:r w:rsidRPr="00631938">
              <w:rPr>
                <w:lang w:val="en-US" w:eastAsia="en-US"/>
              </w:rPr>
              <w:t xml:space="preserve">27 </w:t>
            </w:r>
            <w:r w:rsidR="00D15D20">
              <w:rPr>
                <w:lang w:val="en-US" w:eastAsia="en-US"/>
              </w:rPr>
              <w:t>kopecks</w:t>
            </w:r>
            <w:r w:rsidRPr="00631938">
              <w:rPr>
                <w:lang w:val="en-US" w:eastAsia="en-US"/>
              </w:rPr>
              <w:t xml:space="preserve"> (VAT included), as well as accrued from the date of the signing of the Settlement Agreement for the use of interest borrowed funds, in accordance with the repayment schedule specified in paragraph 1 of the Settlement</w:t>
            </w:r>
            <w:r w:rsidR="00D15D20">
              <w:rPr>
                <w:lang w:val="en-US" w:eastAsia="en-US"/>
              </w:rPr>
              <w:t xml:space="preserve"> Agreement</w:t>
            </w:r>
            <w:r w:rsidRPr="00631938">
              <w:rPr>
                <w:lang w:val="en-US" w:eastAsia="en-US"/>
              </w:rPr>
              <w:t>.</w:t>
            </w:r>
          </w:p>
          <w:p w:rsidR="00631938" w:rsidRPr="00631938" w:rsidRDefault="00631938" w:rsidP="00631938">
            <w:pPr>
              <w:tabs>
                <w:tab w:val="left" w:pos="204"/>
              </w:tabs>
              <w:ind w:right="140"/>
              <w:jc w:val="both"/>
              <w:rPr>
                <w:lang w:val="en-US" w:eastAsia="en-US"/>
              </w:rPr>
            </w:pPr>
            <w:r w:rsidRPr="00631938">
              <w:rPr>
                <w:lang w:val="en-US" w:eastAsia="en-US"/>
              </w:rPr>
              <w:t xml:space="preserve">The </w:t>
            </w:r>
            <w:r w:rsidR="00D15D20">
              <w:rPr>
                <w:lang w:val="en-US" w:eastAsia="en-US"/>
              </w:rPr>
              <w:t>D</w:t>
            </w:r>
            <w:r w:rsidRPr="00631938">
              <w:rPr>
                <w:lang w:val="en-US" w:eastAsia="en-US"/>
              </w:rPr>
              <w:t>efendant pa</w:t>
            </w:r>
            <w:r w:rsidR="00D15D20">
              <w:rPr>
                <w:lang w:val="en-US" w:eastAsia="en-US"/>
              </w:rPr>
              <w:t>ys</w:t>
            </w:r>
            <w:r w:rsidRPr="00631938">
              <w:rPr>
                <w:lang w:val="en-US" w:eastAsia="en-US"/>
              </w:rPr>
              <w:t xml:space="preserve"> the </w:t>
            </w:r>
            <w:r w:rsidR="00D15D20">
              <w:rPr>
                <w:lang w:val="en-US" w:eastAsia="en-US"/>
              </w:rPr>
              <w:t>Plaintiff</w:t>
            </w:r>
            <w:r w:rsidR="00D15D20" w:rsidRPr="00631938">
              <w:rPr>
                <w:lang w:val="en-US" w:eastAsia="en-US"/>
              </w:rPr>
              <w:t xml:space="preserve"> </w:t>
            </w:r>
            <w:r w:rsidRPr="00631938">
              <w:rPr>
                <w:lang w:val="en-US" w:eastAsia="en-US"/>
              </w:rPr>
              <w:t>the amount of interest for the use of borrowed funds by the court in the amount of 1</w:t>
            </w:r>
            <w:r w:rsidR="00D15D20">
              <w:rPr>
                <w:lang w:val="en-US" w:eastAsia="en-US"/>
              </w:rPr>
              <w:t> </w:t>
            </w:r>
            <w:r w:rsidRPr="00631938">
              <w:rPr>
                <w:lang w:val="en-US" w:eastAsia="en-US"/>
              </w:rPr>
              <w:t>776</w:t>
            </w:r>
            <w:r w:rsidR="00D15D20">
              <w:rPr>
                <w:lang w:val="en-US" w:eastAsia="en-US"/>
              </w:rPr>
              <w:t xml:space="preserve"> </w:t>
            </w:r>
            <w:r w:rsidRPr="00631938">
              <w:rPr>
                <w:lang w:val="en-US" w:eastAsia="en-US"/>
              </w:rPr>
              <w:t xml:space="preserve">738 </w:t>
            </w:r>
            <w:r w:rsidR="00D15D20">
              <w:rPr>
                <w:lang w:val="en-US" w:eastAsia="en-US"/>
              </w:rPr>
              <w:t xml:space="preserve">rubles </w:t>
            </w:r>
            <w:r w:rsidRPr="00631938">
              <w:rPr>
                <w:lang w:val="en-US" w:eastAsia="en-US"/>
              </w:rPr>
              <w:t xml:space="preserve">13 </w:t>
            </w:r>
            <w:r w:rsidR="00D15D20">
              <w:rPr>
                <w:lang w:val="en-US" w:eastAsia="en-US"/>
              </w:rPr>
              <w:t>kopecks</w:t>
            </w:r>
            <w:r w:rsidRPr="00631938">
              <w:rPr>
                <w:lang w:val="en-US" w:eastAsia="en-US"/>
              </w:rPr>
              <w:t xml:space="preserve"> </w:t>
            </w:r>
            <w:r w:rsidR="00D15D20">
              <w:rPr>
                <w:lang w:val="en-US" w:eastAsia="en-US"/>
              </w:rPr>
              <w:t>by 31.08.2015</w:t>
            </w:r>
            <w:r w:rsidRPr="00631938">
              <w:rPr>
                <w:lang w:val="en-US" w:eastAsia="en-US"/>
              </w:rPr>
              <w:t>.</w:t>
            </w:r>
          </w:p>
          <w:p w:rsidR="00631938" w:rsidRPr="00631938" w:rsidRDefault="00631938" w:rsidP="00631938">
            <w:pPr>
              <w:tabs>
                <w:tab w:val="left" w:pos="204"/>
              </w:tabs>
              <w:ind w:right="140"/>
              <w:jc w:val="both"/>
              <w:rPr>
                <w:lang w:val="en-US" w:eastAsia="en-US"/>
              </w:rPr>
            </w:pPr>
            <w:r w:rsidRPr="00631938">
              <w:rPr>
                <w:lang w:val="en-US" w:eastAsia="en-US"/>
              </w:rPr>
              <w:t xml:space="preserve">During the period from the date of the signing of the Settlement Agreement to the date of actual repayment of the debt under the contract </w:t>
            </w:r>
            <w:r w:rsidR="00D15D20">
              <w:rPr>
                <w:lang w:val="en-US" w:eastAsia="en-US"/>
              </w:rPr>
              <w:t>No.</w:t>
            </w:r>
            <w:r w:rsidR="00D15D20" w:rsidRPr="00631938">
              <w:rPr>
                <w:lang w:val="en-US" w:eastAsia="en-US"/>
              </w:rPr>
              <w:t>13-14725</w:t>
            </w:r>
            <w:r w:rsidR="00D15D20">
              <w:rPr>
                <w:lang w:val="en-US" w:eastAsia="en-US"/>
              </w:rPr>
              <w:t>/</w:t>
            </w:r>
            <w:r w:rsidR="00D15D20" w:rsidRPr="00631938">
              <w:rPr>
                <w:lang w:val="en-US" w:eastAsia="en-US"/>
              </w:rPr>
              <w:t>407</w:t>
            </w:r>
            <w:r w:rsidR="00D15D20">
              <w:rPr>
                <w:lang w:val="en-US" w:eastAsia="en-US"/>
              </w:rPr>
              <w:t>/</w:t>
            </w:r>
            <w:r w:rsidR="00D15D20" w:rsidRPr="00631938">
              <w:rPr>
                <w:lang w:val="en-US" w:eastAsia="en-US"/>
              </w:rPr>
              <w:t xml:space="preserve">30-27 </w:t>
            </w:r>
            <w:r w:rsidR="00D15D20">
              <w:rPr>
                <w:lang w:val="en-US" w:eastAsia="en-US"/>
              </w:rPr>
              <w:t>dated</w:t>
            </w:r>
            <w:r w:rsidRPr="00631938">
              <w:rPr>
                <w:lang w:val="en-US" w:eastAsia="en-US"/>
              </w:rPr>
              <w:t xml:space="preserve"> 21.01.2014 on the actual balance of the debt </w:t>
            </w:r>
            <w:r w:rsidR="00D15D20">
              <w:rPr>
                <w:lang w:val="en-US" w:eastAsia="en-US"/>
              </w:rPr>
              <w:t xml:space="preserve">shall be </w:t>
            </w:r>
            <w:r w:rsidRPr="00631938">
              <w:rPr>
                <w:lang w:val="en-US" w:eastAsia="en-US"/>
              </w:rPr>
              <w:t>accrued interest on borrowed funds at the refinancing rate of the Central Bank of the Russian Federation, acting on the date of the conclusion of the World agreement.</w:t>
            </w:r>
          </w:p>
          <w:p w:rsidR="00631938" w:rsidRPr="00631938" w:rsidRDefault="00631938" w:rsidP="00631938">
            <w:pPr>
              <w:tabs>
                <w:tab w:val="left" w:pos="204"/>
              </w:tabs>
              <w:ind w:right="140"/>
              <w:jc w:val="both"/>
              <w:rPr>
                <w:lang w:val="en-US" w:eastAsia="en-US"/>
              </w:rPr>
            </w:pPr>
            <w:r w:rsidRPr="00631938">
              <w:rPr>
                <w:lang w:val="en-US" w:eastAsia="en-US"/>
              </w:rPr>
              <w:t>The obligation to pay the state duty imposed on the parties in equal shares.</w:t>
            </w:r>
          </w:p>
          <w:p w:rsidR="00631938" w:rsidRPr="00631938" w:rsidRDefault="00631938" w:rsidP="00631938">
            <w:pPr>
              <w:tabs>
                <w:tab w:val="left" w:pos="204"/>
              </w:tabs>
              <w:ind w:right="140"/>
              <w:jc w:val="both"/>
              <w:rPr>
                <w:lang w:val="en-US" w:eastAsia="en-US"/>
              </w:rPr>
            </w:pPr>
            <w:r w:rsidRPr="00631938">
              <w:rPr>
                <w:lang w:val="en-US" w:eastAsia="en-US"/>
              </w:rPr>
              <w:t xml:space="preserve">Settlement Price: Settlement price is </w:t>
            </w:r>
            <w:r w:rsidR="00D15D20" w:rsidRPr="00631938">
              <w:rPr>
                <w:lang w:val="en-US" w:eastAsia="en-US"/>
              </w:rPr>
              <w:t xml:space="preserve">28 014 319.56 (twenty eight million fourteen thousand three hundred nineteen) rubles 56 kopecks, including VAT, including the amount owed under the contract </w:t>
            </w:r>
            <w:r w:rsidR="00D15D20">
              <w:rPr>
                <w:lang w:val="en-US" w:eastAsia="en-US"/>
              </w:rPr>
              <w:t>No.</w:t>
            </w:r>
            <w:r w:rsidR="00D15D20" w:rsidRPr="00631938">
              <w:rPr>
                <w:lang w:val="en-US" w:eastAsia="en-US"/>
              </w:rPr>
              <w:t>13-14725</w:t>
            </w:r>
            <w:r w:rsidR="00D15D20">
              <w:rPr>
                <w:lang w:val="en-US" w:eastAsia="en-US"/>
              </w:rPr>
              <w:t>/</w:t>
            </w:r>
            <w:r w:rsidR="00D15D20" w:rsidRPr="00631938">
              <w:rPr>
                <w:lang w:val="en-US" w:eastAsia="en-US"/>
              </w:rPr>
              <w:t>407</w:t>
            </w:r>
            <w:r w:rsidR="00D15D20">
              <w:rPr>
                <w:lang w:val="en-US" w:eastAsia="en-US"/>
              </w:rPr>
              <w:t>/</w:t>
            </w:r>
            <w:r w:rsidR="00D15D20" w:rsidRPr="00631938">
              <w:rPr>
                <w:lang w:val="en-US" w:eastAsia="en-US"/>
              </w:rPr>
              <w:t xml:space="preserve">30-27 </w:t>
            </w:r>
            <w:r w:rsidR="00D15D20">
              <w:rPr>
                <w:lang w:val="en-US" w:eastAsia="en-US"/>
              </w:rPr>
              <w:t>dated</w:t>
            </w:r>
            <w:r w:rsidR="00D15D20" w:rsidRPr="00631938">
              <w:rPr>
                <w:lang w:val="en-US" w:eastAsia="en-US"/>
              </w:rPr>
              <w:t xml:space="preserve"> 21.01.2014 in the amount of 24 929 386.27 (twenty-four million nine hundred twenty</w:t>
            </w:r>
            <w:r w:rsidR="00D15D20">
              <w:rPr>
                <w:lang w:val="en-US" w:eastAsia="en-US"/>
              </w:rPr>
              <w:t xml:space="preserve"> </w:t>
            </w:r>
            <w:r w:rsidR="00D15D20" w:rsidRPr="00631938">
              <w:rPr>
                <w:lang w:val="en-US" w:eastAsia="en-US"/>
              </w:rPr>
              <w:t>nine thousand three hundred eighty</w:t>
            </w:r>
            <w:r w:rsidR="00D15D20">
              <w:rPr>
                <w:lang w:val="en-US" w:eastAsia="en-US"/>
              </w:rPr>
              <w:t xml:space="preserve"> </w:t>
            </w:r>
            <w:r w:rsidR="00D15D20" w:rsidRPr="00631938">
              <w:rPr>
                <w:lang w:val="en-US" w:eastAsia="en-US"/>
              </w:rPr>
              <w:t xml:space="preserve">six) rubles 27 kopecks; </w:t>
            </w:r>
            <w:r w:rsidR="00D15D20">
              <w:rPr>
                <w:lang w:val="en-US" w:eastAsia="en-US"/>
              </w:rPr>
              <w:t xml:space="preserve">interest </w:t>
            </w:r>
            <w:r w:rsidR="00D15D20" w:rsidRPr="00631938">
              <w:rPr>
                <w:lang w:val="en-US" w:eastAsia="en-US"/>
              </w:rPr>
              <w:t>accrued from the date of the signing of the Settlement on borrowed funds in the amount of 1</w:t>
            </w:r>
            <w:r w:rsidR="00D15D20">
              <w:rPr>
                <w:lang w:val="en-US" w:eastAsia="en-US"/>
              </w:rPr>
              <w:t xml:space="preserve"> 308 </w:t>
            </w:r>
            <w:r w:rsidR="00D15D20" w:rsidRPr="00631938">
              <w:rPr>
                <w:lang w:val="en-US" w:eastAsia="en-US"/>
              </w:rPr>
              <w:t>195</w:t>
            </w:r>
            <w:r w:rsidR="00D15D20">
              <w:rPr>
                <w:lang w:val="en-US" w:eastAsia="en-US"/>
              </w:rPr>
              <w:t>.</w:t>
            </w:r>
            <w:r w:rsidR="00D15D20" w:rsidRPr="00631938">
              <w:rPr>
                <w:lang w:val="en-US" w:eastAsia="en-US"/>
              </w:rPr>
              <w:t>16 (one million three hundred and eight thousand one hundred ninety</w:t>
            </w:r>
            <w:r w:rsidR="00D15D20">
              <w:rPr>
                <w:lang w:val="en-US" w:eastAsia="en-US"/>
              </w:rPr>
              <w:t xml:space="preserve"> </w:t>
            </w:r>
            <w:r w:rsidR="00D15D20" w:rsidRPr="00631938">
              <w:rPr>
                <w:lang w:val="en-US" w:eastAsia="en-US"/>
              </w:rPr>
              <w:t>five) rubles 16 kopecks; the amount of interest for the use of borrowed funds by the court in the amount of 1</w:t>
            </w:r>
            <w:r w:rsidR="00D15D20">
              <w:rPr>
                <w:lang w:val="en-US" w:eastAsia="en-US"/>
              </w:rPr>
              <w:t> </w:t>
            </w:r>
            <w:r w:rsidR="00D15D20" w:rsidRPr="00631938">
              <w:rPr>
                <w:lang w:val="en-US" w:eastAsia="en-US"/>
              </w:rPr>
              <w:t>776</w:t>
            </w:r>
            <w:r w:rsidR="00D15D20">
              <w:rPr>
                <w:lang w:val="en-US" w:eastAsia="en-US"/>
              </w:rPr>
              <w:t> </w:t>
            </w:r>
            <w:r w:rsidR="00D15D20" w:rsidRPr="00631938">
              <w:rPr>
                <w:lang w:val="en-US" w:eastAsia="en-US"/>
              </w:rPr>
              <w:t>738</w:t>
            </w:r>
            <w:r w:rsidR="00D15D20">
              <w:rPr>
                <w:lang w:val="en-US" w:eastAsia="en-US"/>
              </w:rPr>
              <w:t>.</w:t>
            </w:r>
            <w:r w:rsidR="00D15D20" w:rsidRPr="00631938">
              <w:rPr>
                <w:lang w:val="en-US" w:eastAsia="en-US"/>
              </w:rPr>
              <w:t>13 (one million seven hundred seventy</w:t>
            </w:r>
            <w:r w:rsidR="00D15D20">
              <w:rPr>
                <w:lang w:val="en-US" w:eastAsia="en-US"/>
              </w:rPr>
              <w:t xml:space="preserve"> </w:t>
            </w:r>
            <w:r w:rsidR="00D15D20" w:rsidRPr="00631938">
              <w:rPr>
                <w:lang w:val="en-US" w:eastAsia="en-US"/>
              </w:rPr>
              <w:t>six thousand seven hundred thirty</w:t>
            </w:r>
            <w:r w:rsidR="00D15D20">
              <w:rPr>
                <w:lang w:val="en-US" w:eastAsia="en-US"/>
              </w:rPr>
              <w:t xml:space="preserve"> </w:t>
            </w:r>
            <w:r w:rsidR="00D15D20" w:rsidRPr="00631938">
              <w:rPr>
                <w:lang w:val="en-US" w:eastAsia="en-US"/>
              </w:rPr>
              <w:t>eight) rubles 13 kopecks</w:t>
            </w:r>
            <w:r w:rsidRPr="00631938">
              <w:rPr>
                <w:lang w:val="en-US" w:eastAsia="en-US"/>
              </w:rPr>
              <w:t>.</w:t>
            </w:r>
          </w:p>
          <w:p w:rsidR="00AC5CCA" w:rsidRPr="00AC5CCA" w:rsidRDefault="00631938" w:rsidP="00D15D20">
            <w:pPr>
              <w:tabs>
                <w:tab w:val="left" w:pos="204"/>
              </w:tabs>
              <w:ind w:right="140"/>
              <w:jc w:val="both"/>
              <w:rPr>
                <w:lang w:val="en-US" w:eastAsia="en-US"/>
              </w:rPr>
            </w:pPr>
            <w:r w:rsidRPr="00631938">
              <w:rPr>
                <w:lang w:val="en-US" w:eastAsia="en-US"/>
              </w:rPr>
              <w:t>Liability of the Parties under the Settleme</w:t>
            </w:r>
            <w:bookmarkStart w:id="0" w:name="_GoBack"/>
            <w:bookmarkEnd w:id="0"/>
            <w:r w:rsidRPr="00631938">
              <w:rPr>
                <w:lang w:val="en-US" w:eastAsia="en-US"/>
              </w:rPr>
              <w:t xml:space="preserve">nt Agreement: In </w:t>
            </w:r>
            <w:r w:rsidR="00D15D20">
              <w:rPr>
                <w:lang w:val="en-US" w:eastAsia="en-US"/>
              </w:rPr>
              <w:t xml:space="preserve">case the Defendant violates </w:t>
            </w:r>
            <w:r w:rsidRPr="00631938">
              <w:rPr>
                <w:lang w:val="en-US" w:eastAsia="en-US"/>
              </w:rPr>
              <w:t xml:space="preserve">the </w:t>
            </w:r>
            <w:r w:rsidRPr="00631938">
              <w:rPr>
                <w:lang w:val="en-US" w:eastAsia="en-US"/>
              </w:rPr>
              <w:lastRenderedPageBreak/>
              <w:t xml:space="preserve">obligations under clause 3 of the Settlement, </w:t>
            </w:r>
            <w:r w:rsidR="00D15D20">
              <w:rPr>
                <w:lang w:val="en-US" w:eastAsia="en-US"/>
              </w:rPr>
              <w:t xml:space="preserve">the </w:t>
            </w:r>
            <w:r w:rsidRPr="00631938">
              <w:rPr>
                <w:lang w:val="en-US" w:eastAsia="en-US"/>
              </w:rPr>
              <w:t xml:space="preserve">Plaintiff pursuant to paragraph 2 of Article 142 of the </w:t>
            </w:r>
            <w:r w:rsidR="00D15D20">
              <w:rPr>
                <w:lang w:val="en-US" w:eastAsia="en-US"/>
              </w:rPr>
              <w:t xml:space="preserve">RF </w:t>
            </w:r>
            <w:r w:rsidR="00D15D20" w:rsidRPr="00D15D20">
              <w:rPr>
                <w:lang w:val="en-US" w:eastAsia="en-US"/>
              </w:rPr>
              <w:t xml:space="preserve">Commercial Procedure Code </w:t>
            </w:r>
            <w:r w:rsidRPr="00631938">
              <w:rPr>
                <w:lang w:val="en-US" w:eastAsia="en-US"/>
              </w:rPr>
              <w:t xml:space="preserve">has the right to appeal to the </w:t>
            </w:r>
            <w:r w:rsidR="00D15D20">
              <w:rPr>
                <w:lang w:val="en-US" w:eastAsia="en-US"/>
              </w:rPr>
              <w:t>Commercial</w:t>
            </w:r>
            <w:r w:rsidRPr="00631938">
              <w:rPr>
                <w:lang w:val="en-US" w:eastAsia="en-US"/>
              </w:rPr>
              <w:t xml:space="preserve"> Court of Krasnodar region with a request to grant </w:t>
            </w:r>
            <w:r w:rsidR="00D15D20">
              <w:rPr>
                <w:lang w:val="en-US" w:eastAsia="en-US"/>
              </w:rPr>
              <w:t xml:space="preserve">an </w:t>
            </w:r>
            <w:r w:rsidR="00D15D20" w:rsidRPr="00D15D20">
              <w:rPr>
                <w:lang w:val="en-US" w:eastAsia="en-US"/>
              </w:rPr>
              <w:t>enforcement order</w:t>
            </w:r>
            <w:r w:rsidRPr="00631938">
              <w:rPr>
                <w:lang w:val="en-US" w:eastAsia="en-US"/>
              </w:rPr>
              <w:t>.</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sz w:val="24"/>
                <w:szCs w:val="24"/>
                <w:lang w:val="en-US"/>
              </w:rPr>
            </w:pPr>
            <w:r w:rsidRPr="00AC5CCA">
              <w:rPr>
                <w:rFonts w:ascii="Times New Roman" w:hAnsi="Times New Roman" w:cs="Times New Roman"/>
                <w:b/>
                <w:sz w:val="24"/>
                <w:szCs w:val="24"/>
                <w:lang w:val="en-US"/>
              </w:rPr>
              <w:lastRenderedPageBreak/>
              <w:t>Disclosure of insider information on item No.6 “</w:t>
            </w:r>
            <w:r w:rsidRPr="00AC5CCA">
              <w:rPr>
                <w:rFonts w:ascii="Times New Roman" w:hAnsi="Times New Roman" w:cs="Times New Roman"/>
                <w:b/>
                <w:color w:val="000000"/>
                <w:sz w:val="24"/>
                <w:szCs w:val="24"/>
                <w:lang w:val="en-US"/>
              </w:rPr>
              <w:t>On approval of contract between Kubanenergo PJSC and its employees on free of charge use of residential premises</w:t>
            </w:r>
            <w:r w:rsidRPr="00AC5CCA">
              <w:rPr>
                <w:rFonts w:ascii="Times New Roman" w:hAnsi="Times New Roman" w:cs="Times New Roman"/>
                <w:b/>
                <w:sz w:val="24"/>
                <w:szCs w:val="24"/>
                <w:lang w:val="en-US"/>
              </w:rPr>
              <w:t>”</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1F322B" w:rsidRDefault="00AC5CCA" w:rsidP="0060283F">
            <w:pPr>
              <w:pStyle w:val="a5"/>
              <w:ind w:right="140"/>
              <w:jc w:val="both"/>
              <w:rPr>
                <w:rFonts w:ascii="Times New Roman" w:hAnsi="Times New Roman" w:cs="Times New Roman"/>
                <w:sz w:val="24"/>
                <w:szCs w:val="24"/>
                <w:lang w:val="en-US"/>
              </w:rPr>
            </w:pPr>
            <w:r w:rsidRPr="001F322B">
              <w:rPr>
                <w:rFonts w:ascii="Times New Roman" w:hAnsi="Times New Roman" w:cs="Times New Roman"/>
                <w:sz w:val="24"/>
                <w:szCs w:val="24"/>
                <w:lang w:val="en-US"/>
              </w:rPr>
              <w:t>2.2.6.  Decision adopted by issuer’s Board of Directors:</w:t>
            </w:r>
          </w:p>
          <w:p w:rsidR="00AC5CCA" w:rsidRPr="001F322B" w:rsidRDefault="001F322B" w:rsidP="001F322B">
            <w:pPr>
              <w:pStyle w:val="a5"/>
              <w:ind w:right="140"/>
              <w:jc w:val="both"/>
              <w:rPr>
                <w:rFonts w:ascii="Times New Roman" w:hAnsi="Times New Roman" w:cs="Times New Roman"/>
                <w:sz w:val="24"/>
                <w:szCs w:val="24"/>
                <w:lang w:val="en-US"/>
              </w:rPr>
            </w:pPr>
            <w:r w:rsidRPr="001F322B">
              <w:rPr>
                <w:rFonts w:ascii="Times New Roman" w:hAnsi="Times New Roman" w:cs="Times New Roman"/>
                <w:sz w:val="24"/>
                <w:szCs w:val="24"/>
                <w:lang w:val="en-US"/>
              </w:rPr>
              <w:t xml:space="preserve">To approve the </w:t>
            </w:r>
            <w:r w:rsidRPr="001F322B">
              <w:rPr>
                <w:rFonts w:ascii="Times New Roman" w:hAnsi="Times New Roman" w:cs="Times New Roman"/>
                <w:color w:val="000000"/>
                <w:sz w:val="24"/>
                <w:szCs w:val="24"/>
                <w:lang w:val="en-US"/>
              </w:rPr>
              <w:t xml:space="preserve">contract between Kubanenergo PJSC and its employees on free of charge use of residential premises, in accordance with Annex </w:t>
            </w:r>
            <w:r w:rsidRPr="001F322B">
              <w:rPr>
                <w:color w:val="000000"/>
                <w:lang w:val="en-US"/>
              </w:rPr>
              <w:t>7</w:t>
            </w:r>
            <w:r w:rsidRPr="001F322B">
              <w:rPr>
                <w:rFonts w:ascii="Times New Roman" w:hAnsi="Times New Roman" w:cs="Times New Roman"/>
                <w:color w:val="000000"/>
                <w:sz w:val="24"/>
                <w:szCs w:val="24"/>
                <w:lang w:val="en-US"/>
              </w:rPr>
              <w:t>to the resolution of the BoD.</w:t>
            </w:r>
          </w:p>
        </w:tc>
      </w:tr>
      <w:tr w:rsidR="00AC5CCA" w:rsidRPr="00AC5CCA" w:rsidTr="0060283F">
        <w:trPr>
          <w:trHeight w:val="1125"/>
        </w:trPr>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right="140"/>
              <w:jc w:val="both"/>
              <w:rPr>
                <w:rFonts w:ascii="Times New Roman" w:hAnsi="Times New Roman" w:cs="Times New Roman"/>
                <w:b/>
                <w:sz w:val="24"/>
                <w:szCs w:val="24"/>
                <w:lang w:val="en-US"/>
              </w:rPr>
            </w:pPr>
            <w:r w:rsidRPr="00AC5CCA">
              <w:rPr>
                <w:rFonts w:ascii="Times New Roman" w:hAnsi="Times New Roman" w:cs="Times New Roman"/>
                <w:sz w:val="24"/>
                <w:szCs w:val="24"/>
                <w:lang w:val="en-US"/>
              </w:rPr>
              <w:t xml:space="preserve">2.3. Date of holding the meeting of Board of Directors: </w:t>
            </w:r>
            <w:r w:rsidRPr="00AC5CCA">
              <w:rPr>
                <w:rFonts w:ascii="Times New Roman" w:hAnsi="Times New Roman" w:cs="Times New Roman"/>
                <w:sz w:val="24"/>
                <w:szCs w:val="24"/>
                <w:lang w:val="en-US"/>
              </w:rPr>
              <w:t>11</w:t>
            </w:r>
            <w:r w:rsidRPr="00AC5CCA">
              <w:rPr>
                <w:rFonts w:ascii="Times New Roman" w:hAnsi="Times New Roman" w:cs="Times New Roman"/>
                <w:sz w:val="24"/>
                <w:szCs w:val="24"/>
                <w:lang w:val="en-US"/>
              </w:rPr>
              <w:t xml:space="preserve"> </w:t>
            </w:r>
            <w:r w:rsidRPr="00AC5CCA">
              <w:rPr>
                <w:rFonts w:ascii="Times New Roman" w:hAnsi="Times New Roman" w:cs="Times New Roman"/>
                <w:sz w:val="24"/>
                <w:szCs w:val="24"/>
                <w:lang w:val="en-US"/>
              </w:rPr>
              <w:t>December</w:t>
            </w:r>
            <w:r w:rsidRPr="00AC5CCA">
              <w:rPr>
                <w:rFonts w:ascii="Times New Roman" w:hAnsi="Times New Roman" w:cs="Times New Roman"/>
                <w:sz w:val="24"/>
                <w:szCs w:val="24"/>
                <w:lang w:val="en-US"/>
              </w:rPr>
              <w:t xml:space="preserve"> 2015</w:t>
            </w:r>
          </w:p>
          <w:p w:rsidR="00AC5CCA" w:rsidRPr="00AC5CCA" w:rsidRDefault="00AC5CCA" w:rsidP="00AC5CCA">
            <w:pPr>
              <w:pStyle w:val="a5"/>
              <w:ind w:right="140"/>
              <w:jc w:val="both"/>
              <w:rPr>
                <w:rFonts w:ascii="Times New Roman" w:hAnsi="Times New Roman" w:cs="Times New Roman"/>
                <w:sz w:val="24"/>
                <w:szCs w:val="24"/>
                <w:lang w:val="en-US"/>
              </w:rPr>
            </w:pPr>
            <w:r w:rsidRPr="00AC5CCA">
              <w:rPr>
                <w:rFonts w:ascii="Times New Roman" w:hAnsi="Times New Roman" w:cs="Times New Roman"/>
                <w:sz w:val="24"/>
                <w:szCs w:val="24"/>
                <w:lang w:val="en-US"/>
              </w:rPr>
              <w:t xml:space="preserve">2.4. Date of making and number of minutes of meeting: </w:t>
            </w:r>
            <w:r w:rsidRPr="00AC5CCA">
              <w:rPr>
                <w:rFonts w:ascii="Times New Roman" w:hAnsi="Times New Roman" w:cs="Times New Roman"/>
                <w:sz w:val="24"/>
                <w:szCs w:val="24"/>
                <w:lang w:val="en-US"/>
              </w:rPr>
              <w:t xml:space="preserve">14 </w:t>
            </w:r>
            <w:r w:rsidR="001F322B" w:rsidRPr="00AC5CCA">
              <w:rPr>
                <w:rFonts w:ascii="Times New Roman" w:hAnsi="Times New Roman" w:cs="Times New Roman"/>
                <w:sz w:val="24"/>
                <w:szCs w:val="24"/>
                <w:lang w:val="en-US"/>
              </w:rPr>
              <w:t>December</w:t>
            </w:r>
            <w:r w:rsidRPr="00AC5CCA">
              <w:rPr>
                <w:rFonts w:ascii="Times New Roman" w:hAnsi="Times New Roman" w:cs="Times New Roman"/>
                <w:sz w:val="24"/>
                <w:szCs w:val="24"/>
                <w:lang w:val="en-US"/>
              </w:rPr>
              <w:t xml:space="preserve"> 2015, minutes of meeting No.22</w:t>
            </w:r>
            <w:r w:rsidRPr="00AC5CCA">
              <w:rPr>
                <w:rFonts w:ascii="Times New Roman" w:hAnsi="Times New Roman" w:cs="Times New Roman"/>
                <w:sz w:val="24"/>
                <w:szCs w:val="24"/>
                <w:lang w:val="en-US"/>
              </w:rPr>
              <w:t>5</w:t>
            </w:r>
            <w:r w:rsidRPr="00AC5CCA">
              <w:rPr>
                <w:rFonts w:ascii="Times New Roman" w:hAnsi="Times New Roman" w:cs="Times New Roman"/>
                <w:sz w:val="24"/>
                <w:szCs w:val="24"/>
                <w:lang w:val="en-US"/>
              </w:rPr>
              <w:t>/2015</w:t>
            </w:r>
            <w:r w:rsidRPr="00AC5CCA">
              <w:rPr>
                <w:rFonts w:ascii="Times New Roman" w:hAnsi="Times New Roman" w:cs="Times New Roman"/>
                <w:b/>
                <w:sz w:val="24"/>
                <w:szCs w:val="24"/>
                <w:lang w:val="en-US"/>
              </w:rPr>
              <w:t>.</w:t>
            </w:r>
          </w:p>
        </w:tc>
      </w:tr>
      <w:tr w:rsidR="00AC5CCA" w:rsidRPr="00AC5CC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C5CCA" w:rsidRDefault="00AC5CCA" w:rsidP="0060283F">
            <w:pPr>
              <w:pStyle w:val="a5"/>
              <w:ind w:left="360" w:right="140"/>
              <w:jc w:val="center"/>
              <w:rPr>
                <w:rFonts w:ascii="Times New Roman" w:hAnsi="Times New Roman" w:cs="Times New Roman"/>
                <w:sz w:val="24"/>
                <w:szCs w:val="24"/>
              </w:rPr>
            </w:pPr>
            <w:r w:rsidRPr="00AC5CCA">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AC5CCA" w:rsidRPr="00AC5CCA" w:rsidTr="0060283F">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AC5CCA" w:rsidRPr="00AC5CCA" w:rsidRDefault="00AC5CCA" w:rsidP="0060283F">
            <w:pPr>
              <w:spacing w:line="276" w:lineRule="auto"/>
              <w:ind w:left="57" w:right="140"/>
              <w:jc w:val="both"/>
              <w:rPr>
                <w:lang w:val="en-US" w:eastAsia="en-US"/>
              </w:rPr>
            </w:pPr>
            <w:r w:rsidRPr="00AC5CCA">
              <w:rPr>
                <w:lang w:val="en-US" w:eastAsia="en-US"/>
              </w:rPr>
              <w:t>3.1 Deputy director general in charge of corporate management (attorney No. 4D-1602 dated 01.07.2015)</w:t>
            </w:r>
          </w:p>
          <w:p w:rsidR="00AC5CCA" w:rsidRPr="00AC5CCA" w:rsidRDefault="00AC5CCA" w:rsidP="0060283F">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AC5CCA" w:rsidRPr="00AC5CCA" w:rsidRDefault="00AC5CCA" w:rsidP="0060283F">
            <w:pPr>
              <w:spacing w:line="276" w:lineRule="auto"/>
              <w:ind w:right="140"/>
              <w:jc w:val="both"/>
              <w:rPr>
                <w:lang w:val="en-US" w:eastAsia="en-US"/>
              </w:rPr>
            </w:pPr>
          </w:p>
          <w:p w:rsidR="00AC5CCA" w:rsidRPr="00AC5CCA" w:rsidRDefault="00AC5CCA" w:rsidP="0060283F">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AC5CCA" w:rsidRPr="00AC5CCA" w:rsidRDefault="00AC5CCA" w:rsidP="0060283F">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AC5CCA" w:rsidRPr="00AC5CCA" w:rsidRDefault="00AC5CCA" w:rsidP="0060283F">
            <w:pPr>
              <w:spacing w:line="276" w:lineRule="auto"/>
              <w:ind w:right="140"/>
              <w:jc w:val="both"/>
              <w:rPr>
                <w:lang w:val="en-US" w:eastAsia="en-US"/>
              </w:rPr>
            </w:pPr>
            <w:proofErr w:type="spellStart"/>
            <w:r w:rsidRPr="00AC5CCA">
              <w:rPr>
                <w:lang w:val="en-US" w:eastAsia="en-US"/>
              </w:rPr>
              <w:t>Konevets</w:t>
            </w:r>
            <w:proofErr w:type="spellEnd"/>
            <w:r w:rsidRPr="00AC5CCA">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AC5CCA" w:rsidRPr="00AC5CCA" w:rsidRDefault="00AC5CCA" w:rsidP="0060283F">
            <w:pPr>
              <w:spacing w:line="276" w:lineRule="auto"/>
              <w:ind w:right="140"/>
              <w:jc w:val="both"/>
              <w:rPr>
                <w:lang w:val="en-US" w:eastAsia="en-US"/>
              </w:rPr>
            </w:pPr>
          </w:p>
        </w:tc>
      </w:tr>
      <w:tr w:rsidR="00AC5CCA" w:rsidRPr="00AC5CCA" w:rsidTr="0060283F">
        <w:trPr>
          <w:cantSplit/>
        </w:trPr>
        <w:tc>
          <w:tcPr>
            <w:tcW w:w="0" w:type="auto"/>
            <w:vMerge/>
            <w:tcBorders>
              <w:top w:val="single" w:sz="4" w:space="0" w:color="auto"/>
              <w:left w:val="single" w:sz="4" w:space="0" w:color="auto"/>
              <w:bottom w:val="nil"/>
              <w:right w:val="nil"/>
            </w:tcBorders>
            <w:vAlign w:val="center"/>
            <w:hideMark/>
          </w:tcPr>
          <w:p w:rsidR="00AC5CCA" w:rsidRPr="00AC5CCA" w:rsidRDefault="00AC5CCA" w:rsidP="0060283F">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AC5CCA" w:rsidRPr="00AC5CCA" w:rsidRDefault="00AC5CCA" w:rsidP="0060283F">
            <w:pPr>
              <w:spacing w:line="276" w:lineRule="auto"/>
              <w:ind w:right="140"/>
              <w:jc w:val="both"/>
              <w:rPr>
                <w:lang w:val="en-US" w:eastAsia="en-US"/>
              </w:rPr>
            </w:pPr>
            <w:r w:rsidRPr="00AC5CCA">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AC5CCA" w:rsidRPr="00AC5CCA" w:rsidRDefault="00AC5CCA" w:rsidP="0060283F">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AC5CCA" w:rsidRPr="00AC5CCA" w:rsidRDefault="00AC5CCA" w:rsidP="0060283F">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AC5CCA" w:rsidRPr="00AC5CCA" w:rsidRDefault="00AC5CCA" w:rsidP="0060283F">
            <w:pPr>
              <w:spacing w:line="276" w:lineRule="auto"/>
              <w:ind w:right="140"/>
              <w:jc w:val="both"/>
              <w:rPr>
                <w:lang w:val="en-US" w:eastAsia="en-US"/>
              </w:rPr>
            </w:pPr>
          </w:p>
        </w:tc>
      </w:tr>
      <w:tr w:rsidR="00AC5CCA" w:rsidRPr="00AC5CCA" w:rsidTr="0060283F">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AC5CCA" w:rsidRPr="00AC5CCA" w:rsidRDefault="00AC5CCA" w:rsidP="00AC5CCA">
            <w:pPr>
              <w:spacing w:line="276" w:lineRule="auto"/>
              <w:ind w:right="140"/>
              <w:jc w:val="both"/>
              <w:rPr>
                <w:lang w:val="en-US" w:eastAsia="en-US"/>
              </w:rPr>
            </w:pPr>
            <w:r w:rsidRPr="00AC5CCA">
              <w:rPr>
                <w:lang w:val="en-US" w:eastAsia="en-US"/>
              </w:rPr>
              <w:t xml:space="preserve">3.2 Date: </w:t>
            </w:r>
            <w:r w:rsidRPr="00AC5CCA">
              <w:rPr>
                <w:lang w:val="en-US" w:eastAsia="en-US"/>
              </w:rPr>
              <w:t xml:space="preserve">15 </w:t>
            </w:r>
            <w:r w:rsidR="001F322B" w:rsidRPr="00AC5CCA">
              <w:rPr>
                <w:lang w:val="en-US" w:eastAsia="en-US"/>
              </w:rPr>
              <w:t>December</w:t>
            </w:r>
            <w:r w:rsidRPr="00AC5CCA">
              <w:rPr>
                <w:lang w:val="en-US" w:eastAsia="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AC5CCA" w:rsidRPr="00AC5CCA" w:rsidRDefault="00AC5CCA" w:rsidP="0060283F">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AC5CCA" w:rsidRPr="00AC5CCA" w:rsidRDefault="00AC5CCA" w:rsidP="0060283F">
            <w:pPr>
              <w:spacing w:line="276" w:lineRule="auto"/>
              <w:ind w:right="140"/>
              <w:jc w:val="both"/>
              <w:rPr>
                <w:lang w:val="en-US" w:eastAsia="en-US"/>
              </w:rPr>
            </w:pPr>
          </w:p>
        </w:tc>
      </w:tr>
      <w:tr w:rsidR="00AC5CCA" w:rsidRPr="00AC5CCA" w:rsidTr="0060283F">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AC5CCA" w:rsidRPr="00AC5CCA" w:rsidRDefault="00AC5CCA" w:rsidP="0060283F">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AC5CCA" w:rsidRPr="00AC5CCA" w:rsidRDefault="00AC5CCA" w:rsidP="0060283F">
            <w:pPr>
              <w:spacing w:line="276" w:lineRule="auto"/>
              <w:ind w:right="140"/>
              <w:jc w:val="both"/>
              <w:rPr>
                <w:lang w:val="en-US" w:eastAsia="en-US"/>
              </w:rPr>
            </w:pPr>
            <w:r w:rsidRPr="00AC5CCA">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AC5CCA" w:rsidRPr="00AC5CCA" w:rsidRDefault="00AC5CCA" w:rsidP="0060283F">
            <w:pPr>
              <w:spacing w:line="276" w:lineRule="auto"/>
              <w:ind w:right="140"/>
              <w:jc w:val="both"/>
              <w:rPr>
                <w:lang w:val="en-US" w:eastAsia="en-US"/>
              </w:rPr>
            </w:pPr>
          </w:p>
        </w:tc>
      </w:tr>
    </w:tbl>
    <w:p w:rsidR="00AC5CCA" w:rsidRPr="00AC5CCA" w:rsidRDefault="00AC5CCA" w:rsidP="00AC5CCA">
      <w:pPr>
        <w:ind w:right="140"/>
        <w:jc w:val="both"/>
        <w:rPr>
          <w:lang w:val="en-US"/>
        </w:rPr>
      </w:pPr>
    </w:p>
    <w:p w:rsidR="00AC5CCA" w:rsidRPr="00AC5CCA" w:rsidRDefault="00AC5CCA" w:rsidP="00AC5CCA"/>
    <w:p w:rsidR="00AC5CCA" w:rsidRPr="00AC5CCA" w:rsidRDefault="00AC5CCA" w:rsidP="00AC5CCA"/>
    <w:p w:rsidR="004E06C8" w:rsidRPr="00AC5CCA" w:rsidRDefault="004E06C8"/>
    <w:sectPr w:rsidR="004E06C8" w:rsidRPr="00AC5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FA2"/>
    <w:multiLevelType w:val="hybridMultilevel"/>
    <w:tmpl w:val="6560915A"/>
    <w:lvl w:ilvl="0" w:tplc="9FE216C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CA"/>
    <w:rsid w:val="001F322B"/>
    <w:rsid w:val="004B4C4C"/>
    <w:rsid w:val="004B6A59"/>
    <w:rsid w:val="004E06C8"/>
    <w:rsid w:val="00631938"/>
    <w:rsid w:val="00AC5CCA"/>
    <w:rsid w:val="00AE3403"/>
    <w:rsid w:val="00D15D20"/>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2015-12-16T12:09:00Z</dcterms:created>
  <dcterms:modified xsi:type="dcterms:W3CDTF">2015-12-16T12:39:00Z</dcterms:modified>
</cp:coreProperties>
</file>